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6E73B">
      <w:pPr>
        <w:spacing w:line="240" w:lineRule="auto"/>
        <w:jc w:val="center"/>
        <w:rPr>
          <w:rFonts w:hint="default" w:asciiTheme="minorEastAsia" w:hAnsiTheme="minorEastAsia" w:eastAsiaTheme="minorEastAsia" w:cstheme="minorEastAsia"/>
          <w:b/>
          <w:color w:val="000000"/>
          <w:sz w:val="28"/>
          <w:szCs w:val="28"/>
          <w:lang w:val="en-US" w:eastAsia="zh-CN"/>
        </w:rPr>
      </w:pPr>
      <w:bookmarkStart w:id="0" w:name="_Toc28359002"/>
      <w:bookmarkStart w:id="1" w:name="_Toc28359079"/>
      <w:bookmarkStart w:id="2" w:name="_Toc38985263"/>
      <w:bookmarkStart w:id="3" w:name="_Toc35393621"/>
      <w:bookmarkStart w:id="4" w:name="_Toc35393790"/>
      <w:bookmarkStart w:id="5" w:name="_Hlk24379207"/>
      <w:r>
        <w:rPr>
          <w:rFonts w:hint="eastAsia" w:asciiTheme="minorEastAsia" w:hAnsiTheme="minorEastAsia" w:eastAsiaTheme="minorEastAsia" w:cstheme="minorEastAsia"/>
          <w:b/>
          <w:color w:val="000000"/>
          <w:sz w:val="28"/>
          <w:szCs w:val="28"/>
          <w:lang w:val="en-US" w:eastAsia="zh-CN"/>
        </w:rPr>
        <w:t>南京财经大学红山学院网络驻场服务需求</w:t>
      </w:r>
    </w:p>
    <w:p w14:paraId="763EA970">
      <w:pPr>
        <w:spacing w:line="24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一、项目基本情况</w:t>
      </w:r>
      <w:bookmarkEnd w:id="0"/>
      <w:bookmarkEnd w:id="1"/>
      <w:bookmarkEnd w:id="2"/>
      <w:bookmarkEnd w:id="3"/>
      <w:bookmarkEnd w:id="4"/>
    </w:p>
    <w:p w14:paraId="74CBFA8C">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南京财经大学红山学院</w:t>
      </w:r>
      <w:r>
        <w:rPr>
          <w:rFonts w:hint="eastAsia" w:asciiTheme="minorEastAsia" w:hAnsiTheme="minorEastAsia" w:eastAsiaTheme="minorEastAsia" w:cstheme="minorEastAsia"/>
          <w:sz w:val="28"/>
          <w:szCs w:val="28"/>
        </w:rPr>
        <w:t>网络驻场运维服务</w:t>
      </w:r>
    </w:p>
    <w:bookmarkEnd w:id="5"/>
    <w:p w14:paraId="3DD31748">
      <w:pPr>
        <w:numPr>
          <w:ilvl w:val="0"/>
          <w:numId w:val="0"/>
        </w:numPr>
        <w:spacing w:line="240" w:lineRule="auto"/>
        <w:rPr>
          <w:rFonts w:hint="default" w:asciiTheme="minorEastAsia" w:hAnsiTheme="minorEastAsia" w:eastAsiaTheme="minorEastAsia" w:cstheme="minorEastAsia"/>
          <w:sz w:val="28"/>
          <w:szCs w:val="28"/>
          <w:highlight w:val="yellow"/>
          <w:u w:val="single"/>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采购需求（简介）：</w:t>
      </w:r>
      <w:r>
        <w:rPr>
          <w:rFonts w:hint="eastAsia" w:asciiTheme="minorEastAsia" w:hAnsiTheme="minorEastAsia" w:eastAsiaTheme="minorEastAsia" w:cstheme="minorEastAsia"/>
          <w:kern w:val="0"/>
          <w:sz w:val="28"/>
          <w:szCs w:val="28"/>
          <w:lang w:val="en-US" w:eastAsia="zh-CN"/>
        </w:rPr>
        <w:t>高淳校区</w:t>
      </w:r>
      <w:r>
        <w:rPr>
          <w:rFonts w:hint="eastAsia" w:asciiTheme="minorEastAsia" w:hAnsiTheme="minorEastAsia" w:eastAsiaTheme="minorEastAsia" w:cstheme="minorEastAsia"/>
          <w:kern w:val="0"/>
          <w:sz w:val="28"/>
          <w:szCs w:val="28"/>
        </w:rPr>
        <w:t>共计</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人网络驻场运维</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要求2024年10月15日前进场。</w:t>
      </w:r>
    </w:p>
    <w:p w14:paraId="742E1D45">
      <w:pPr>
        <w:spacing w:line="240" w:lineRule="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.合同履行期限：3年。</w:t>
      </w:r>
    </w:p>
    <w:p w14:paraId="30CD0D04">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二、技术要求</w:t>
      </w:r>
    </w:p>
    <w:p w14:paraId="3F4C0B95">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1.运维服务目标</w:t>
      </w:r>
    </w:p>
    <w:p w14:paraId="1E2DE719">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1.1 减少网络故障发生</w:t>
      </w:r>
      <w:r>
        <w:rPr>
          <w:rFonts w:hint="eastAsia" w:asciiTheme="minorEastAsia" w:hAnsiTheme="minorEastAsia" w:eastAsiaTheme="minorEastAsia" w:cstheme="minorEastAsia"/>
          <w:color w:val="000000"/>
          <w:sz w:val="28"/>
          <w:szCs w:val="28"/>
        </w:rPr>
        <w:t>：通过定期的巡检、维护和优化，及时发现并排除潜在的网络故障隐患，减少网络中断事件的发生。</w:t>
      </w:r>
    </w:p>
    <w:p w14:paraId="58E1369C">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1.2 快速响应与恢复</w:t>
      </w:r>
      <w:r>
        <w:rPr>
          <w:rFonts w:hint="eastAsia" w:asciiTheme="minorEastAsia" w:hAnsiTheme="minorEastAsia" w:eastAsiaTheme="minorEastAsia" w:cstheme="minorEastAsia"/>
          <w:color w:val="000000"/>
          <w:sz w:val="28"/>
          <w:szCs w:val="28"/>
        </w:rPr>
        <w:t>：建立高效的故障响应机制，确保在网络故障发生时能够迅速定位问题并采取措施进行恢复，缩短故障影响时间。</w:t>
      </w:r>
    </w:p>
    <w:p w14:paraId="18BC7A39">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1.3 增强网络安全性</w:t>
      </w:r>
      <w:r>
        <w:rPr>
          <w:rFonts w:hint="eastAsia" w:asciiTheme="minorEastAsia" w:hAnsiTheme="minorEastAsia" w:eastAsiaTheme="minorEastAsia" w:cstheme="minorEastAsia"/>
          <w:color w:val="000000"/>
          <w:sz w:val="28"/>
          <w:szCs w:val="28"/>
        </w:rPr>
        <w:t>：协助学校构建完善的网络安全防护体系，包括防火墙、入侵检测系统、安全审计系统等，确保校园网络免受外部攻击和内部威胁。</w:t>
      </w:r>
    </w:p>
    <w:p w14:paraId="7C69E394">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1.4 提升用户体验</w:t>
      </w:r>
      <w:r>
        <w:rPr>
          <w:rFonts w:hint="eastAsia" w:asciiTheme="minorEastAsia" w:hAnsiTheme="minorEastAsia" w:eastAsiaTheme="minorEastAsia" w:cstheme="minorEastAsia"/>
          <w:color w:val="000000"/>
          <w:sz w:val="28"/>
          <w:szCs w:val="28"/>
        </w:rPr>
        <w:t>：协助学校开展各类网络宣传活动，提供网络使用指南、故障排除技巧等使用指导文档，帮助用户更好地使用校园网络资源和服务。建立服务质量监控体系，定期收集用户反馈并进行分析，了解用户需求，不断提升满意度。</w:t>
      </w:r>
    </w:p>
    <w:p w14:paraId="208E69CD">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2.运维内容</w:t>
      </w:r>
    </w:p>
    <w:p w14:paraId="6FEDB1A7">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2.1运维服务时间、范围和地点</w:t>
      </w:r>
    </w:p>
    <w:p w14:paraId="70F1716C">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服务时间：全年7*24小时提供运维服务；驻场服务时间为每天8：00-22：00；重保期间按照上级规定必须24小时在线值班。</w:t>
      </w:r>
    </w:p>
    <w:p w14:paraId="7BEAF246">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运维设备设施范围：</w:t>
      </w:r>
      <w:r>
        <w:rPr>
          <w:rFonts w:hint="eastAsia" w:asciiTheme="minorEastAsia" w:hAnsiTheme="minorEastAsia" w:eastAsiaTheme="minorEastAsia" w:cstheme="minorEastAsia"/>
          <w:color w:val="000000"/>
          <w:sz w:val="28"/>
          <w:szCs w:val="28"/>
          <w:lang w:eastAsia="zh-CN"/>
        </w:rPr>
        <w:t>南京财经大学红山</w:t>
      </w:r>
      <w:r>
        <w:rPr>
          <w:rFonts w:hint="eastAsia" w:asciiTheme="minorEastAsia" w:hAnsiTheme="minorEastAsia" w:eastAsiaTheme="minorEastAsia" w:cstheme="minorEastAsia"/>
          <w:color w:val="000000"/>
          <w:sz w:val="28"/>
          <w:szCs w:val="28"/>
          <w:lang w:val="en-US" w:eastAsia="zh-CN"/>
        </w:rPr>
        <w:t>高淳</w:t>
      </w:r>
      <w:r>
        <w:rPr>
          <w:rFonts w:hint="eastAsia" w:asciiTheme="minorEastAsia" w:hAnsiTheme="minorEastAsia" w:eastAsiaTheme="minorEastAsia" w:cstheme="minorEastAsia"/>
          <w:color w:val="000000"/>
          <w:sz w:val="28"/>
          <w:szCs w:val="28"/>
        </w:rPr>
        <w:t>校区的所有校园网机房核心设备至接入设备（含图书馆网络设备、</w:t>
      </w:r>
      <w:r>
        <w:rPr>
          <w:rFonts w:hint="eastAsia" w:asciiTheme="minorEastAsia" w:hAnsiTheme="minorEastAsia" w:eastAsiaTheme="minorEastAsia" w:cstheme="minorEastAsia"/>
          <w:color w:val="000000"/>
          <w:sz w:val="28"/>
          <w:szCs w:val="28"/>
          <w:lang w:val="en-US" w:eastAsia="zh-CN"/>
        </w:rPr>
        <w:t>食堂网络设备、宿舍网络设备、多媒体教室网络设备、计算机教室</w:t>
      </w:r>
      <w:r>
        <w:rPr>
          <w:rFonts w:hint="eastAsia" w:asciiTheme="minorEastAsia" w:hAnsiTheme="minorEastAsia" w:eastAsiaTheme="minorEastAsia" w:cstheme="minorEastAsia"/>
          <w:color w:val="000000"/>
          <w:sz w:val="28"/>
          <w:szCs w:val="28"/>
        </w:rPr>
        <w:t>网络设备、一卡通相关网络设备和链路、一体化无线网络设备及校园内所有光缆和铜缆），以及面向校内师生用户的有线和无线网络接入服务。</w:t>
      </w:r>
    </w:p>
    <w:p w14:paraId="0645C897">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服务地点：</w:t>
      </w:r>
      <w:r>
        <w:rPr>
          <w:rFonts w:hint="eastAsia" w:asciiTheme="minorEastAsia" w:hAnsiTheme="minorEastAsia" w:eastAsiaTheme="minorEastAsia" w:cstheme="minorEastAsia"/>
          <w:color w:val="000000"/>
          <w:sz w:val="28"/>
          <w:szCs w:val="28"/>
          <w:lang w:eastAsia="zh-CN"/>
        </w:rPr>
        <w:t>南京财经大学红山学院</w:t>
      </w:r>
      <w:r>
        <w:rPr>
          <w:rFonts w:hint="eastAsia" w:asciiTheme="minorEastAsia" w:hAnsiTheme="minorEastAsia" w:eastAsiaTheme="minorEastAsia" w:cstheme="minorEastAsia"/>
          <w:color w:val="000000"/>
          <w:sz w:val="28"/>
          <w:szCs w:val="28"/>
          <w:lang w:val="en-US" w:eastAsia="zh-CN"/>
        </w:rPr>
        <w:t>高淳</w:t>
      </w:r>
      <w:r>
        <w:rPr>
          <w:rFonts w:hint="eastAsia" w:asciiTheme="minorEastAsia" w:hAnsiTheme="minorEastAsia" w:eastAsiaTheme="minorEastAsia" w:cstheme="minorEastAsia"/>
          <w:color w:val="000000"/>
          <w:sz w:val="28"/>
          <w:szCs w:val="28"/>
        </w:rPr>
        <w:t>校区所有校园网（含无线网）涉及到的教学楼、办公室、宿舍区及其他相关地点。</w:t>
      </w:r>
    </w:p>
    <w:p w14:paraId="4F80CEA5">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2.2具体运维服务内容</w:t>
      </w:r>
    </w:p>
    <w:p w14:paraId="4BC860DE">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包括但不限于以下内容：</w:t>
      </w:r>
    </w:p>
    <w:p w14:paraId="29BEFA44">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（1）与运营商互联的出口网络设备的配置、调整及策略优化；</w:t>
      </w:r>
    </w:p>
    <w:p w14:paraId="0277FF5F">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（2）校园网络核心设备的管理、配置、调整及策略优化；</w:t>
      </w:r>
    </w:p>
    <w:p w14:paraId="2DD4365E">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val="en-US" w:eastAsia="zh-CN"/>
        </w:rPr>
        <w:t>与南京财经大学的</w:t>
      </w:r>
      <w:r>
        <w:rPr>
          <w:rFonts w:hint="eastAsia" w:asciiTheme="minorEastAsia" w:hAnsiTheme="minorEastAsia" w:eastAsiaTheme="minorEastAsia" w:cstheme="minorEastAsia"/>
          <w:color w:val="000000"/>
          <w:sz w:val="28"/>
          <w:szCs w:val="28"/>
        </w:rPr>
        <w:t>网络互联线路监测，发现校区互联中断或者业务中断及时报修；</w:t>
      </w:r>
    </w:p>
    <w:p w14:paraId="64EB122C">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（4）校园网络的运行状态监控、故障发现与处理，各级网络设备重大故障无法在规定时间内修复的，免费提供备机供校方使用；</w:t>
      </w:r>
    </w:p>
    <w:p w14:paraId="52E51050">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（5）每天对校园核心机房进行巡检并做记录，定期对校园网核心与汇聚交换机进行状态监测与配置备份；</w:t>
      </w:r>
    </w:p>
    <w:p w14:paraId="1183ACFE">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（6）定期对</w:t>
      </w:r>
      <w:r>
        <w:rPr>
          <w:rFonts w:hint="eastAsia" w:asciiTheme="minorEastAsia" w:hAnsiTheme="minorEastAsia" w:eastAsiaTheme="minorEastAsia" w:cstheme="minorEastAsia"/>
          <w:color w:val="000000"/>
          <w:sz w:val="28"/>
          <w:szCs w:val="28"/>
          <w:lang w:val="en-US" w:eastAsia="zh-CN"/>
        </w:rPr>
        <w:t>校区内</w:t>
      </w:r>
      <w:r>
        <w:rPr>
          <w:rFonts w:hint="eastAsia" w:asciiTheme="minorEastAsia" w:hAnsiTheme="minorEastAsia" w:eastAsiaTheme="minorEastAsia" w:cstheme="minorEastAsia"/>
          <w:color w:val="000000"/>
          <w:sz w:val="28"/>
          <w:szCs w:val="28"/>
        </w:rPr>
        <w:t>各楼宇弱电间进行巡检，并做记录，做好弱电间内的环境整治、卫生打扫、空间优化、布线整理与温湿度监控；</w:t>
      </w:r>
    </w:p>
    <w:p w14:paraId="13A3A935">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（7）有线网络接口模块的更换、新增与连通性测试；</w:t>
      </w:r>
    </w:p>
    <w:p w14:paraId="27C20433">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（8）监测所有无线AP信号覆盖、合理优化信号覆盖、频段调优与AP管理，保证无线信号连接强度和数据连接速度；</w:t>
      </w:r>
    </w:p>
    <w:p w14:paraId="1618EF3C">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（9）根据网络设备运行情况，适时做好硬件设备固件版本升级、软件版本升级以及操作系统升级；</w:t>
      </w:r>
    </w:p>
    <w:p w14:paraId="23B74A66">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（10）校方网络需要调整时，配合做好相关设备的配置与调整、上架或拆除，保证校方业务正常使用；</w:t>
      </w:r>
    </w:p>
    <w:p w14:paraId="11C3A857">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（11）保障校园骨干网光纤、楼宇内汇聚光纤以及接入有线六类线缆的连通，发现线路故障及时修复；</w:t>
      </w:r>
    </w:p>
    <w:p w14:paraId="784AB04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（12）局部或临时有线网络和无线网络搭建；</w:t>
      </w:r>
    </w:p>
    <w:p w14:paraId="4F02E0DF">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（13）局部网络调整时，提供设备迁移、添加、变动提供合理化建议；</w:t>
      </w:r>
    </w:p>
    <w:p w14:paraId="5FFF6291">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（14）做好重点区域网络或重要时期网络的线路、服务、应用等服务保障；</w:t>
      </w:r>
    </w:p>
    <w:p w14:paraId="347BEB01">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（15）做好校园网络互联设备和线路巡检；</w:t>
      </w:r>
    </w:p>
    <w:p w14:paraId="4FA2968C">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（16）如有网络切割，做好网络互联设备的文档配置备份，切实做好实施预案，保证网络服务的连续性和一致性；</w:t>
      </w:r>
    </w:p>
    <w:p w14:paraId="423DA00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（17）做好运维日志和设备运行台账，做好设备资料收集与整理，形成运维知识库和校园网络状况一览表。</w:t>
      </w:r>
    </w:p>
    <w:p w14:paraId="2EACD82F">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val="en-US" w:eastAsia="zh-CN"/>
        </w:rPr>
        <w:t>8</w:t>
      </w:r>
      <w:r>
        <w:rPr>
          <w:rFonts w:hint="eastAsia" w:asciiTheme="minorEastAsia" w:hAnsiTheme="minorEastAsia" w:eastAsiaTheme="minorEastAsia" w:cstheme="minorEastAsia"/>
          <w:color w:val="000000"/>
          <w:sz w:val="28"/>
          <w:szCs w:val="28"/>
        </w:rPr>
        <w:t>）学生宿舍上网认证，协助学生将学号与运营商手机号码绑定过程中遇到的问题，上网故障排查，无线网络信号优化与调整，做好新生开学、网上集中选课、线上课程等网络保障。</w:t>
      </w:r>
    </w:p>
    <w:p w14:paraId="584A276A">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19</w:t>
      </w:r>
      <w:r>
        <w:rPr>
          <w:rFonts w:hint="eastAsia" w:asciiTheme="minorEastAsia" w:hAnsiTheme="minorEastAsia" w:eastAsiaTheme="minorEastAsia" w:cstheme="minorEastAsia"/>
          <w:color w:val="000000"/>
          <w:sz w:val="28"/>
          <w:szCs w:val="28"/>
        </w:rPr>
        <w:t>）协助多媒体教室、会议、广播、</w:t>
      </w:r>
      <w:r>
        <w:rPr>
          <w:rFonts w:hint="eastAsia" w:asciiTheme="minorEastAsia" w:hAnsiTheme="minorEastAsia" w:eastAsiaTheme="minorEastAsia" w:cstheme="minorEastAsia"/>
          <w:color w:val="000000"/>
          <w:sz w:val="28"/>
          <w:szCs w:val="28"/>
          <w:lang w:val="en-US" w:eastAsia="zh-CN"/>
        </w:rPr>
        <w:t>大屏</w:t>
      </w:r>
      <w:r>
        <w:rPr>
          <w:rFonts w:hint="eastAsia" w:asciiTheme="minorEastAsia" w:hAnsiTheme="minorEastAsia" w:eastAsiaTheme="minorEastAsia" w:cstheme="minorEastAsia"/>
          <w:color w:val="000000"/>
          <w:sz w:val="28"/>
          <w:szCs w:val="28"/>
        </w:rPr>
        <w:t>等系统中设备故障排查、检修与维护，网络故障排查等。</w:t>
      </w:r>
    </w:p>
    <w:p w14:paraId="1CDBD2AA">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）平安校园网络、节能平台网络、一卡通等的网络故障、节点故障的排查与维护。</w:t>
      </w:r>
    </w:p>
    <w:p w14:paraId="2F720778">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rPr>
        <w:t>）数据中心网络及核心设备的日常维护与管理。</w:t>
      </w:r>
    </w:p>
    <w:p w14:paraId="7D8D611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）学校所有网络机房的日常运行服务、动环监控、用电安全、设备上架、线路整理等。</w:t>
      </w:r>
    </w:p>
    <w:p w14:paraId="282DDAF6">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）定期对中心机房和各弱电间进行环境与设备状态巡检、安全风险排查，含UPS和机房精密空调的运行状态记录，发现故障及时上报。</w:t>
      </w:r>
    </w:p>
    <w:p w14:paraId="54EE4691">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）运维报告服务及信息化管理：需能够按月、按季度、按学期、按年度，提供运维报告，运维报告要有详细的数据支持，运维过程须能实现信息化管理。</w:t>
      </w:r>
    </w:p>
    <w:p w14:paraId="5AFB0FC7">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）新媒体宣传工作：需能够熟练使用各种新媒体制作工作，配合</w:t>
      </w:r>
      <w:r>
        <w:rPr>
          <w:rFonts w:hint="eastAsia" w:asciiTheme="minorEastAsia" w:hAnsiTheme="minorEastAsia" w:eastAsiaTheme="minorEastAsia" w:cstheme="minorEastAsia"/>
          <w:color w:val="000000"/>
          <w:sz w:val="28"/>
          <w:szCs w:val="28"/>
          <w:lang w:eastAsia="zh-CN"/>
        </w:rPr>
        <w:t>南京财经大学红山学院</w:t>
      </w:r>
      <w:r>
        <w:rPr>
          <w:rFonts w:hint="eastAsia" w:asciiTheme="minorEastAsia" w:hAnsiTheme="minorEastAsia" w:eastAsiaTheme="minorEastAsia" w:cstheme="minorEastAsia"/>
          <w:color w:val="000000"/>
          <w:sz w:val="28"/>
          <w:szCs w:val="28"/>
        </w:rPr>
        <w:t>制作网络与信息化工作相关推文。</w:t>
      </w:r>
    </w:p>
    <w:p w14:paraId="300FBA1D">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）网络管理体系建设：配合</w:t>
      </w:r>
      <w:r>
        <w:rPr>
          <w:rFonts w:hint="eastAsia" w:asciiTheme="minorEastAsia" w:hAnsiTheme="minorEastAsia" w:eastAsiaTheme="minorEastAsia" w:cstheme="minorEastAsia"/>
          <w:color w:val="000000"/>
          <w:sz w:val="28"/>
          <w:szCs w:val="28"/>
          <w:lang w:eastAsia="zh-CN"/>
        </w:rPr>
        <w:t>南京财经大学红山学院</w:t>
      </w:r>
      <w:r>
        <w:rPr>
          <w:rFonts w:hint="eastAsia" w:asciiTheme="minorEastAsia" w:hAnsiTheme="minorEastAsia" w:eastAsiaTheme="minorEastAsia" w:cstheme="minorEastAsia"/>
          <w:color w:val="000000"/>
          <w:sz w:val="28"/>
          <w:szCs w:val="28"/>
        </w:rPr>
        <w:t>修订现有管理制度，增补管理制度，按照安全管理要求检查现有工作规范，配合</w:t>
      </w:r>
      <w:r>
        <w:rPr>
          <w:rFonts w:hint="eastAsia" w:asciiTheme="minorEastAsia" w:hAnsiTheme="minorEastAsia" w:eastAsiaTheme="minorEastAsia" w:cstheme="minorEastAsia"/>
          <w:color w:val="000000"/>
          <w:sz w:val="28"/>
          <w:szCs w:val="28"/>
          <w:lang w:eastAsia="zh-CN"/>
        </w:rPr>
        <w:t>南京财经大学红山学院</w:t>
      </w:r>
      <w:r>
        <w:rPr>
          <w:rFonts w:hint="eastAsia" w:asciiTheme="minorEastAsia" w:hAnsiTheme="minorEastAsia" w:eastAsiaTheme="minorEastAsia" w:cstheme="minorEastAsia"/>
          <w:color w:val="000000"/>
          <w:sz w:val="28"/>
          <w:szCs w:val="28"/>
        </w:rPr>
        <w:t>建立与完善安全工作标准规范。对</w:t>
      </w:r>
      <w:r>
        <w:rPr>
          <w:rFonts w:hint="eastAsia" w:asciiTheme="minorEastAsia" w:hAnsiTheme="minorEastAsia" w:eastAsiaTheme="minorEastAsia" w:cstheme="minorEastAsia"/>
          <w:color w:val="000000"/>
          <w:sz w:val="28"/>
          <w:szCs w:val="28"/>
          <w:lang w:eastAsia="zh-CN"/>
        </w:rPr>
        <w:t>南京财经大学红山学院</w:t>
      </w:r>
      <w:r>
        <w:rPr>
          <w:rFonts w:hint="eastAsia" w:asciiTheme="minorEastAsia" w:hAnsiTheme="minorEastAsia" w:eastAsiaTheme="minorEastAsia" w:cstheme="minorEastAsia"/>
          <w:color w:val="000000"/>
          <w:sz w:val="28"/>
          <w:szCs w:val="28"/>
        </w:rPr>
        <w:t>信息系统的规划、设计、建设等技术方案的可行性、可靠性、安全性等提供专业建议方案。</w:t>
      </w:r>
    </w:p>
    <w:p w14:paraId="04784FCA">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）正版化办公软件的安装、培训、宣传推广等服务。</w:t>
      </w:r>
    </w:p>
    <w:p w14:paraId="4EFB4DE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8</w:t>
      </w:r>
      <w:r>
        <w:rPr>
          <w:rFonts w:hint="eastAsia" w:asciiTheme="minorEastAsia" w:hAnsiTheme="minorEastAsia" w:eastAsiaTheme="minorEastAsia" w:cstheme="minorEastAsia"/>
          <w:color w:val="000000"/>
          <w:sz w:val="28"/>
          <w:szCs w:val="28"/>
        </w:rPr>
        <w:t>）协助学校开展各类网络宣传活动，提供网络使用指南、故障排除技巧等使用指导文档，帮助用户更好地使用校园网络资源和服务。建立服务质量监控体系，定期收集用户反馈并进行分析，了解用户需求，不断提升满意度。</w:t>
      </w:r>
    </w:p>
    <w:p w14:paraId="2D91DB70">
      <w:pPr>
        <w:spacing w:line="240" w:lineRule="auto"/>
        <w:jc w:val="left"/>
        <w:rPr>
          <w:rFonts w:hint="eastAsia" w:asciiTheme="minorEastAsia" w:hAnsiTheme="minorEastAsia" w:eastAsiaTheme="minorEastAsia" w:cstheme="minorEastAsia"/>
          <w:b/>
          <w:bCs w:val="0"/>
          <w:i w:val="0"/>
          <w:iCs/>
          <w:sz w:val="28"/>
          <w:szCs w:val="28"/>
          <w:u w:val="none"/>
        </w:rPr>
      </w:pPr>
      <w:r>
        <w:rPr>
          <w:rFonts w:hint="eastAsia" w:asciiTheme="minorEastAsia" w:hAnsiTheme="minorEastAsia" w:eastAsiaTheme="minorEastAsia" w:cstheme="minorEastAsia"/>
          <w:b/>
          <w:bCs w:val="0"/>
          <w:i w:val="0"/>
          <w:iCs/>
          <w:color w:val="000000"/>
          <w:sz w:val="28"/>
          <w:szCs w:val="28"/>
          <w:u w:val="none"/>
          <w:lang w:val="en-US" w:eastAsia="zh-CN"/>
        </w:rPr>
        <w:t>3</w:t>
      </w:r>
      <w:r>
        <w:rPr>
          <w:rFonts w:hint="eastAsia" w:asciiTheme="minorEastAsia" w:hAnsiTheme="minorEastAsia" w:eastAsiaTheme="minorEastAsia" w:cstheme="minorEastAsia"/>
          <w:b/>
          <w:bCs w:val="0"/>
          <w:i w:val="0"/>
          <w:iCs/>
          <w:color w:val="000000"/>
          <w:sz w:val="28"/>
          <w:szCs w:val="28"/>
          <w:u w:val="none"/>
        </w:rPr>
        <w:t>.驻场人员要求</w:t>
      </w:r>
    </w:p>
    <w:p w14:paraId="1C0165D8">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项目为采购人提供</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人服务团队，其中项目负责人1人，技术负责人1人，另</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人全职驻场提供运维服务。维保服务供应商报价清单表应包含网络运维</w:t>
      </w:r>
      <w:r>
        <w:rPr>
          <w:rFonts w:hint="eastAsia" w:asciiTheme="minorEastAsia" w:hAnsiTheme="minorEastAsia" w:eastAsiaTheme="minorEastAsia" w:cstheme="minorEastAsia"/>
          <w:color w:val="000000"/>
          <w:sz w:val="28"/>
          <w:szCs w:val="28"/>
          <w:lang w:val="en-US" w:eastAsia="zh-CN"/>
        </w:rPr>
        <w:t>技术团队</w:t>
      </w:r>
      <w:r>
        <w:rPr>
          <w:rFonts w:hint="eastAsia" w:asciiTheme="minorEastAsia" w:hAnsiTheme="minorEastAsia" w:eastAsiaTheme="minorEastAsia" w:cstheme="minorEastAsia"/>
          <w:color w:val="000000"/>
          <w:sz w:val="28"/>
          <w:szCs w:val="28"/>
        </w:rPr>
        <w:t>支持单价</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驻场用人单价</w:t>
      </w:r>
      <w:r>
        <w:rPr>
          <w:rFonts w:hint="eastAsia" w:asciiTheme="minorEastAsia" w:hAnsiTheme="minorEastAsia" w:eastAsiaTheme="minorEastAsia" w:cstheme="minorEastAsia"/>
          <w:color w:val="000000"/>
          <w:sz w:val="28"/>
          <w:szCs w:val="28"/>
          <w:lang w:val="en-US" w:eastAsia="zh-CN"/>
        </w:rPr>
        <w:t>以及备件服务单价</w:t>
      </w:r>
      <w:r>
        <w:rPr>
          <w:rFonts w:hint="eastAsia" w:asciiTheme="minorEastAsia" w:hAnsiTheme="minorEastAsia" w:eastAsiaTheme="minorEastAsia" w:cstheme="minorEastAsia"/>
          <w:color w:val="000000"/>
          <w:sz w:val="28"/>
          <w:szCs w:val="28"/>
        </w:rPr>
        <w:t>。本项目完成招标后合同首次签约一年，第一年合同期满并通过考核后进行合同续签，续签时学校可根据实际需求修改当年度驻场用人数量，并依据驻场用人单</w:t>
      </w:r>
      <w:bookmarkStart w:id="6" w:name="_GoBack"/>
      <w:bookmarkEnd w:id="6"/>
      <w:r>
        <w:rPr>
          <w:rFonts w:hint="eastAsia" w:asciiTheme="minorEastAsia" w:hAnsiTheme="minorEastAsia" w:eastAsiaTheme="minorEastAsia" w:cstheme="minorEastAsia"/>
          <w:color w:val="000000"/>
          <w:sz w:val="28"/>
          <w:szCs w:val="28"/>
        </w:rPr>
        <w:t>价增减相应合同金额。</w:t>
      </w:r>
    </w:p>
    <w:p w14:paraId="61E0635B">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驻场人员组成的驻场运维小组设组长一名，组长必须具有网络类中级及以上资格证书且有两年以上工作经验。</w:t>
      </w:r>
    </w:p>
    <w:p w14:paraId="373943C7">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驻场人员应当具有大专及以上学历学位，年龄不超过40周岁。尊师重教，品行优良，勤奋向上，吃苦耐劳，穿着得体，谈吐清晰，举止文明，团结协作，无不良行嗜好和违法犯罪行为记录，遵守学校各项规章制度和保密纪律，遵从学校布置的各项工作任务。所提供的驻场人员资质必须为实际派驻人员。</w:t>
      </w:r>
    </w:p>
    <w:p w14:paraId="359D2655">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驻场人员队伍要保持长期稳定，未经采购人允许，不得随意更换驻场人员。</w:t>
      </w:r>
    </w:p>
    <w:p w14:paraId="09FBCCBC">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驻场运维人员自备符合学校规定的交通工具，校内停车按规定缴费。</w:t>
      </w:r>
    </w:p>
    <w:p w14:paraId="4685439D">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.具体服务要求</w:t>
      </w:r>
    </w:p>
    <w:p w14:paraId="11281821">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运维技术与方法包括但不限于驻场响应、远程响应、定期巡检、重大活动与日期24小时现场值守、网络协助和培训指导等。</w:t>
      </w:r>
    </w:p>
    <w:p w14:paraId="4A827A4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.1 7×24小时电话支持。</w:t>
      </w:r>
      <w:r>
        <w:rPr>
          <w:rFonts w:hint="eastAsia" w:asciiTheme="minorEastAsia" w:hAnsiTheme="minorEastAsia" w:eastAsiaTheme="minorEastAsia" w:cstheme="minorEastAsia"/>
          <w:color w:val="000000"/>
          <w:sz w:val="28"/>
          <w:szCs w:val="28"/>
        </w:rPr>
        <w:t>在维护期内，采购人在遇到校园网络故障或者软、硬件出现不正常状态，通过电话或传真向维保服务商寻求技术支持和帮助，维保服务商技术人员在三十分钟内（即响应时间）通过电话帮助采购人进行故障定位，提出解决方案，最终指导采购人工程师排除设备故障。</w:t>
      </w:r>
    </w:p>
    <w:p w14:paraId="4D46549D">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.2故障抢修。</w:t>
      </w:r>
      <w:r>
        <w:rPr>
          <w:rFonts w:hint="eastAsia" w:asciiTheme="minorEastAsia" w:hAnsiTheme="minorEastAsia" w:eastAsiaTheme="minorEastAsia" w:cstheme="minorEastAsia"/>
          <w:color w:val="000000"/>
          <w:sz w:val="28"/>
          <w:szCs w:val="28"/>
        </w:rPr>
        <w:t>运维服务商必须提供下列旨在于使采购人的网络设备或系统保持/复原其良好工作状态的各项服务：</w:t>
      </w:r>
    </w:p>
    <w:p w14:paraId="0812E68B">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如果非系统崩溃情况发生（业务还可正常运行），工程师在接到采购人问题报告后三十分钟之内提供电话支持服务，并根据采购人要求和实际情况提供现场技术支持服务(2小时之内到达现场) 。</w:t>
      </w:r>
    </w:p>
    <w:p w14:paraId="51C79D0A">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如果系统崩溃(重大故障)的情况发生，维保服务商工程师在接到采购人问题报告后十分钟之内提供电话响应或在线支持服务。并以最快的方式（1小时内）赶到采购人现场提供现场服务。</w:t>
      </w:r>
    </w:p>
    <w:p w14:paraId="5486544F">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确认在4个小时内无法修复的故障，运维服务商应按如下要求实施维保工作：</w:t>
      </w:r>
    </w:p>
    <w:p w14:paraId="3DA72D08">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在确定故障无法修复后的4小时内为采购人提供一个足够配置的设备替代原网络设备，直到采购人原有网络设备恢复正常，以保障采购人的业务正常进行，确保数据安全；</w:t>
      </w:r>
    </w:p>
    <w:p w14:paraId="47C2497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确定设备硬件损坏程度、并配合采购人工程师完成硬件修复或者重新购买工作。硬件维修费用和购买费用由采购人负责（质保期内设备由原质保商负责）。</w:t>
      </w:r>
    </w:p>
    <w:p w14:paraId="09A43EA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.3 特殊日期值班。</w:t>
      </w:r>
      <w:r>
        <w:rPr>
          <w:rFonts w:hint="eastAsia" w:asciiTheme="minorEastAsia" w:hAnsiTheme="minorEastAsia" w:eastAsiaTheme="minorEastAsia" w:cstheme="minorEastAsia"/>
          <w:color w:val="000000"/>
          <w:sz w:val="28"/>
          <w:szCs w:val="28"/>
        </w:rPr>
        <w:t>重大节假日（国庆、春节等），维保服务商必须安排工程师24小时值班，提前向采购人备案，并保证故障时驻场工程师2小时内赶到现场。提供具体保障方案和流程，工程师必须为在采购人认可并备案的工程师（备案名单以外的工程师，特殊情况下可酌商，但另派的工程师的技术水平不低于驻场工程师）。</w:t>
      </w:r>
    </w:p>
    <w:p w14:paraId="168B0D4A">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.4 驻场值班。</w:t>
      </w:r>
      <w:r>
        <w:rPr>
          <w:rFonts w:hint="eastAsia" w:asciiTheme="minorEastAsia" w:hAnsiTheme="minorEastAsia" w:eastAsiaTheme="minorEastAsia" w:cstheme="minorEastAsia"/>
          <w:color w:val="000000"/>
          <w:sz w:val="28"/>
          <w:szCs w:val="28"/>
        </w:rPr>
        <w:t>驻场人员作息时间须严格遵从学校安排。除按学校正常工作时间开展运维工作之外，还需严格遵守学校值班制度，并且熟练掌握网络安全应急事件处置方法，能够做到规范操作。按期制定值班表，完成平日晚间与节假日值班工作，重保期间24小时值班。</w:t>
      </w:r>
    </w:p>
    <w:p w14:paraId="24E6EC2E">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.5 费用包干。</w:t>
      </w:r>
      <w:r>
        <w:rPr>
          <w:rFonts w:hint="eastAsia" w:asciiTheme="minorEastAsia" w:hAnsiTheme="minorEastAsia" w:eastAsiaTheme="minorEastAsia" w:cstheme="minorEastAsia"/>
          <w:color w:val="000000"/>
          <w:sz w:val="28"/>
          <w:szCs w:val="28"/>
        </w:rPr>
        <w:t>在服务合同期内，如遇到运维服务商在24小时内都无法解决的严重故障，采购人可要求第三方协助解决故障，一切费用由运维服务商负责。</w:t>
      </w:r>
    </w:p>
    <w:p w14:paraId="57B7165D">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.6 定期巡检。</w:t>
      </w:r>
      <w:r>
        <w:rPr>
          <w:rFonts w:hint="eastAsia" w:asciiTheme="minorEastAsia" w:hAnsiTheme="minorEastAsia" w:eastAsiaTheme="minorEastAsia" w:cstheme="minorEastAsia"/>
          <w:color w:val="000000"/>
          <w:sz w:val="28"/>
          <w:szCs w:val="28"/>
        </w:rPr>
        <w:t>建立定期巡检制度，及时发现设备运行中出现的隐患，减少设备发生故障的概率，保证设备的稳定运行。在设备巡检过程中发现的问题，依据原厂商故障分类标准，进行相应的故障排除。</w:t>
      </w:r>
    </w:p>
    <w:p w14:paraId="14496193">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巡检服务包括：设备运行环境检查，包括机房卫生环境、温度、湿度和报警信息等；设备硬件运行情况检查；设备日志分析；设备运行状态、性能检查和优化，包括CPU、内存利用率情况；检查如发现有隐患的部件将及时更换；建立设备维护技术档案，提供月度维护报告、季度/年度总结。</w:t>
      </w:r>
    </w:p>
    <w:p w14:paraId="6CBD39E3">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具体巡检项目清单包含但不限于以下内容：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315"/>
        <w:gridCol w:w="1559"/>
        <w:gridCol w:w="1300"/>
        <w:gridCol w:w="1212"/>
      </w:tblGrid>
      <w:tr w14:paraId="06F5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40" w:type="dxa"/>
            <w:tcBorders>
              <w:top w:val="nil"/>
              <w:left w:val="nil"/>
              <w:bottom w:val="single" w:color="000000" w:sz="6" w:space="0"/>
              <w:right w:val="single" w:color="000000" w:sz="6" w:space="0"/>
            </w:tcBorders>
            <w:noWrap w:val="0"/>
            <w:vAlign w:val="center"/>
          </w:tcPr>
          <w:p w14:paraId="4435932A">
            <w:pPr>
              <w:spacing w:line="240" w:lineRule="auto"/>
              <w:jc w:val="center"/>
              <w:rPr>
                <w:rFonts w:hint="eastAsia" w:asciiTheme="minorEastAsia" w:hAnsiTheme="minorEastAsia" w:eastAsiaTheme="minorEastAsia" w:cstheme="minorEastAsia"/>
                <w:sz w:val="24"/>
                <w:szCs w:val="24"/>
              </w:rPr>
            </w:pPr>
          </w:p>
          <w:p w14:paraId="38B83067">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巡检项目</w:t>
            </w:r>
          </w:p>
          <w:p w14:paraId="6AF38C04">
            <w:pPr>
              <w:spacing w:line="240" w:lineRule="auto"/>
              <w:jc w:val="left"/>
              <w:rPr>
                <w:rFonts w:hint="eastAsia" w:asciiTheme="minorEastAsia" w:hAnsiTheme="minorEastAsia" w:eastAsiaTheme="minorEastAsia" w:cstheme="minorEastAsia"/>
                <w:sz w:val="24"/>
                <w:szCs w:val="24"/>
              </w:rPr>
            </w:pPr>
          </w:p>
        </w:tc>
        <w:tc>
          <w:tcPr>
            <w:tcW w:w="1315" w:type="dxa"/>
            <w:tcBorders>
              <w:top w:val="nil"/>
              <w:left w:val="nil"/>
              <w:bottom w:val="single" w:color="000000" w:sz="6" w:space="0"/>
              <w:right w:val="single" w:color="000000" w:sz="6" w:space="0"/>
            </w:tcBorders>
            <w:noWrap w:val="0"/>
            <w:vAlign w:val="center"/>
          </w:tcPr>
          <w:p w14:paraId="77D9CEF1">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检查周期</w:t>
            </w:r>
          </w:p>
        </w:tc>
        <w:tc>
          <w:tcPr>
            <w:tcW w:w="1559" w:type="dxa"/>
            <w:tcBorders>
              <w:top w:val="nil"/>
              <w:left w:val="nil"/>
              <w:bottom w:val="single" w:color="000000" w:sz="6" w:space="0"/>
              <w:right w:val="single" w:color="000000" w:sz="6" w:space="0"/>
            </w:tcBorders>
            <w:noWrap w:val="0"/>
            <w:vAlign w:val="center"/>
          </w:tcPr>
          <w:p w14:paraId="6067E080">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检查内容</w:t>
            </w:r>
          </w:p>
        </w:tc>
        <w:tc>
          <w:tcPr>
            <w:tcW w:w="1300" w:type="dxa"/>
            <w:tcBorders>
              <w:top w:val="nil"/>
              <w:left w:val="nil"/>
              <w:bottom w:val="single" w:color="000000" w:sz="6" w:space="0"/>
              <w:right w:val="single" w:color="000000" w:sz="6" w:space="0"/>
            </w:tcBorders>
            <w:noWrap w:val="0"/>
            <w:vAlign w:val="center"/>
          </w:tcPr>
          <w:p w14:paraId="4BFAE0A1">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巡检方法</w:t>
            </w:r>
          </w:p>
        </w:tc>
        <w:tc>
          <w:tcPr>
            <w:tcW w:w="1212" w:type="dxa"/>
            <w:tcBorders>
              <w:top w:val="nil"/>
              <w:left w:val="nil"/>
              <w:bottom w:val="single" w:color="000000" w:sz="6" w:space="0"/>
              <w:right w:val="nil"/>
            </w:tcBorders>
            <w:noWrap w:val="0"/>
            <w:vAlign w:val="center"/>
          </w:tcPr>
          <w:p w14:paraId="554B173B">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巡检文档</w:t>
            </w:r>
          </w:p>
        </w:tc>
      </w:tr>
      <w:tr w14:paraId="2219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40" w:type="dxa"/>
            <w:tcBorders>
              <w:top w:val="nil"/>
              <w:left w:val="nil"/>
              <w:bottom w:val="single" w:color="000000" w:sz="6" w:space="0"/>
              <w:right w:val="single" w:color="000000" w:sz="6" w:space="0"/>
            </w:tcBorders>
            <w:noWrap w:val="0"/>
            <w:vAlign w:val="center"/>
          </w:tcPr>
          <w:p w14:paraId="3B42FBE5">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出口链路连通性</w:t>
            </w:r>
          </w:p>
        </w:tc>
        <w:tc>
          <w:tcPr>
            <w:tcW w:w="1315" w:type="dxa"/>
            <w:tcBorders>
              <w:top w:val="nil"/>
              <w:left w:val="nil"/>
              <w:bottom w:val="single" w:color="000000" w:sz="6" w:space="0"/>
              <w:right w:val="single" w:color="000000" w:sz="6" w:space="0"/>
            </w:tcBorders>
            <w:noWrap w:val="0"/>
            <w:vAlign w:val="center"/>
          </w:tcPr>
          <w:p w14:paraId="61B90A3F">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 天一次</w:t>
            </w:r>
          </w:p>
        </w:tc>
        <w:tc>
          <w:tcPr>
            <w:tcW w:w="1559" w:type="dxa"/>
            <w:tcBorders>
              <w:top w:val="nil"/>
              <w:left w:val="nil"/>
              <w:bottom w:val="single" w:color="000000" w:sz="6" w:space="0"/>
              <w:right w:val="single" w:color="000000" w:sz="6" w:space="0"/>
            </w:tcBorders>
            <w:noWrap w:val="0"/>
            <w:vAlign w:val="center"/>
          </w:tcPr>
          <w:p w14:paraId="4AF1D280">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是否正常运行</w:t>
            </w:r>
          </w:p>
        </w:tc>
        <w:tc>
          <w:tcPr>
            <w:tcW w:w="1300" w:type="dxa"/>
            <w:tcBorders>
              <w:top w:val="nil"/>
              <w:left w:val="nil"/>
              <w:bottom w:val="single" w:color="000000" w:sz="6" w:space="0"/>
              <w:right w:val="single" w:color="000000" w:sz="6" w:space="0"/>
            </w:tcBorders>
            <w:noWrap w:val="0"/>
            <w:vAlign w:val="center"/>
          </w:tcPr>
          <w:p w14:paraId="75706B6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Ping baidu.com</w:t>
            </w:r>
          </w:p>
        </w:tc>
        <w:tc>
          <w:tcPr>
            <w:tcW w:w="1212" w:type="dxa"/>
            <w:tcBorders>
              <w:top w:val="nil"/>
              <w:left w:val="nil"/>
              <w:bottom w:val="single" w:color="000000" w:sz="6" w:space="0"/>
              <w:right w:val="nil"/>
            </w:tcBorders>
            <w:noWrap w:val="0"/>
            <w:vAlign w:val="center"/>
          </w:tcPr>
          <w:p w14:paraId="150FE26C">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巡检记录表格</w:t>
            </w:r>
          </w:p>
        </w:tc>
      </w:tr>
      <w:tr w14:paraId="1A2D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40" w:type="dxa"/>
            <w:tcBorders>
              <w:top w:val="nil"/>
              <w:left w:val="nil"/>
              <w:bottom w:val="single" w:color="000000" w:sz="6" w:space="0"/>
              <w:right w:val="single" w:color="000000" w:sz="6" w:space="0"/>
            </w:tcBorders>
            <w:noWrap w:val="0"/>
            <w:vAlign w:val="center"/>
          </w:tcPr>
          <w:p w14:paraId="3ADB1F9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校园网、一卡通网络交换机连通性</w:t>
            </w:r>
          </w:p>
        </w:tc>
        <w:tc>
          <w:tcPr>
            <w:tcW w:w="1315" w:type="dxa"/>
            <w:tcBorders>
              <w:top w:val="nil"/>
              <w:left w:val="nil"/>
              <w:bottom w:val="single" w:color="000000" w:sz="6" w:space="0"/>
              <w:right w:val="single" w:color="000000" w:sz="6" w:space="0"/>
            </w:tcBorders>
            <w:noWrap w:val="0"/>
            <w:vAlign w:val="center"/>
          </w:tcPr>
          <w:p w14:paraId="351914A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 天一次</w:t>
            </w:r>
          </w:p>
        </w:tc>
        <w:tc>
          <w:tcPr>
            <w:tcW w:w="1559" w:type="dxa"/>
            <w:tcBorders>
              <w:top w:val="nil"/>
              <w:left w:val="nil"/>
              <w:bottom w:val="single" w:color="000000" w:sz="6" w:space="0"/>
              <w:right w:val="single" w:color="000000" w:sz="6" w:space="0"/>
            </w:tcBorders>
            <w:noWrap w:val="0"/>
            <w:vAlign w:val="center"/>
          </w:tcPr>
          <w:p w14:paraId="2EAF296C">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是否正常运行</w:t>
            </w:r>
          </w:p>
        </w:tc>
        <w:tc>
          <w:tcPr>
            <w:tcW w:w="1300" w:type="dxa"/>
            <w:tcBorders>
              <w:top w:val="nil"/>
              <w:left w:val="nil"/>
              <w:bottom w:val="single" w:color="000000" w:sz="6" w:space="0"/>
              <w:right w:val="single" w:color="000000" w:sz="6" w:space="0"/>
            </w:tcBorders>
            <w:noWrap w:val="0"/>
            <w:vAlign w:val="center"/>
          </w:tcPr>
          <w:p w14:paraId="15FC1923">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Ping交换机管理地址</w:t>
            </w:r>
          </w:p>
        </w:tc>
        <w:tc>
          <w:tcPr>
            <w:tcW w:w="1212" w:type="dxa"/>
            <w:tcBorders>
              <w:top w:val="nil"/>
              <w:left w:val="nil"/>
              <w:bottom w:val="single" w:color="000000" w:sz="6" w:space="0"/>
              <w:right w:val="nil"/>
            </w:tcBorders>
            <w:noWrap w:val="0"/>
            <w:vAlign w:val="center"/>
          </w:tcPr>
          <w:p w14:paraId="71871B80">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巡检记录表格</w:t>
            </w:r>
          </w:p>
        </w:tc>
      </w:tr>
      <w:tr w14:paraId="3048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40" w:type="dxa"/>
            <w:tcBorders>
              <w:top w:val="nil"/>
              <w:left w:val="nil"/>
              <w:bottom w:val="single" w:color="000000" w:sz="6" w:space="0"/>
              <w:right w:val="single" w:color="000000" w:sz="6" w:space="0"/>
            </w:tcBorders>
            <w:noWrap w:val="0"/>
            <w:vAlign w:val="center"/>
          </w:tcPr>
          <w:p w14:paraId="123D27A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无线网络接入</w:t>
            </w:r>
          </w:p>
        </w:tc>
        <w:tc>
          <w:tcPr>
            <w:tcW w:w="1315" w:type="dxa"/>
            <w:tcBorders>
              <w:top w:val="nil"/>
              <w:left w:val="nil"/>
              <w:bottom w:val="single" w:color="000000" w:sz="6" w:space="0"/>
              <w:right w:val="single" w:color="000000" w:sz="6" w:space="0"/>
            </w:tcBorders>
            <w:noWrap w:val="0"/>
            <w:vAlign w:val="center"/>
          </w:tcPr>
          <w:p w14:paraId="5C8481E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 天一次</w:t>
            </w:r>
          </w:p>
        </w:tc>
        <w:tc>
          <w:tcPr>
            <w:tcW w:w="1559" w:type="dxa"/>
            <w:tcBorders>
              <w:top w:val="nil"/>
              <w:left w:val="nil"/>
              <w:bottom w:val="single" w:color="000000" w:sz="6" w:space="0"/>
              <w:right w:val="single" w:color="000000" w:sz="6" w:space="0"/>
            </w:tcBorders>
            <w:noWrap w:val="0"/>
            <w:vAlign w:val="center"/>
          </w:tcPr>
          <w:p w14:paraId="3ADCA4B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是否正常运行</w:t>
            </w:r>
          </w:p>
        </w:tc>
        <w:tc>
          <w:tcPr>
            <w:tcW w:w="1300" w:type="dxa"/>
            <w:tcBorders>
              <w:top w:val="nil"/>
              <w:left w:val="nil"/>
              <w:bottom w:val="single" w:color="000000" w:sz="6" w:space="0"/>
              <w:right w:val="single" w:color="000000" w:sz="6" w:space="0"/>
            </w:tcBorders>
            <w:noWrap w:val="0"/>
            <w:vAlign w:val="center"/>
          </w:tcPr>
          <w:p w14:paraId="1D4124A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现场接入无线访问网络</w:t>
            </w:r>
          </w:p>
        </w:tc>
        <w:tc>
          <w:tcPr>
            <w:tcW w:w="1212" w:type="dxa"/>
            <w:tcBorders>
              <w:top w:val="nil"/>
              <w:left w:val="nil"/>
              <w:bottom w:val="single" w:color="000000" w:sz="6" w:space="0"/>
              <w:right w:val="nil"/>
            </w:tcBorders>
            <w:noWrap w:val="0"/>
            <w:vAlign w:val="center"/>
          </w:tcPr>
          <w:p w14:paraId="6BD3407E">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巡检记录表格</w:t>
            </w:r>
          </w:p>
        </w:tc>
      </w:tr>
      <w:tr w14:paraId="4974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40" w:type="dxa"/>
            <w:tcBorders>
              <w:top w:val="nil"/>
              <w:left w:val="nil"/>
              <w:bottom w:val="single" w:color="000000" w:sz="6" w:space="0"/>
              <w:right w:val="single" w:color="000000" w:sz="6" w:space="0"/>
            </w:tcBorders>
            <w:noWrap w:val="0"/>
            <w:vAlign w:val="center"/>
          </w:tcPr>
          <w:p w14:paraId="2C5D79F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中心机房空调、UPS</w:t>
            </w:r>
          </w:p>
        </w:tc>
        <w:tc>
          <w:tcPr>
            <w:tcW w:w="1315" w:type="dxa"/>
            <w:tcBorders>
              <w:top w:val="nil"/>
              <w:left w:val="nil"/>
              <w:bottom w:val="single" w:color="000000" w:sz="6" w:space="0"/>
              <w:right w:val="single" w:color="000000" w:sz="6" w:space="0"/>
            </w:tcBorders>
            <w:noWrap w:val="0"/>
            <w:vAlign w:val="center"/>
          </w:tcPr>
          <w:p w14:paraId="385DB35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 天一次</w:t>
            </w:r>
          </w:p>
        </w:tc>
        <w:tc>
          <w:tcPr>
            <w:tcW w:w="1559" w:type="dxa"/>
            <w:tcBorders>
              <w:top w:val="nil"/>
              <w:left w:val="nil"/>
              <w:bottom w:val="single" w:color="000000" w:sz="6" w:space="0"/>
              <w:right w:val="single" w:color="000000" w:sz="6" w:space="0"/>
            </w:tcBorders>
            <w:noWrap w:val="0"/>
            <w:vAlign w:val="center"/>
          </w:tcPr>
          <w:p w14:paraId="170044D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是否正常运行</w:t>
            </w:r>
          </w:p>
        </w:tc>
        <w:tc>
          <w:tcPr>
            <w:tcW w:w="1300" w:type="dxa"/>
            <w:tcBorders>
              <w:top w:val="nil"/>
              <w:left w:val="nil"/>
              <w:bottom w:val="single" w:color="000000" w:sz="6" w:space="0"/>
              <w:right w:val="single" w:color="000000" w:sz="6" w:space="0"/>
            </w:tcBorders>
            <w:noWrap w:val="0"/>
            <w:vAlign w:val="center"/>
          </w:tcPr>
          <w:p w14:paraId="54ACA47A">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现场查看</w:t>
            </w:r>
          </w:p>
        </w:tc>
        <w:tc>
          <w:tcPr>
            <w:tcW w:w="1212" w:type="dxa"/>
            <w:tcBorders>
              <w:top w:val="nil"/>
              <w:left w:val="nil"/>
              <w:bottom w:val="single" w:color="000000" w:sz="6" w:space="0"/>
              <w:right w:val="nil"/>
            </w:tcBorders>
            <w:noWrap w:val="0"/>
            <w:vAlign w:val="center"/>
          </w:tcPr>
          <w:p w14:paraId="7D4C128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巡检记录表格</w:t>
            </w:r>
          </w:p>
        </w:tc>
      </w:tr>
      <w:tr w14:paraId="7361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40" w:type="dxa"/>
            <w:tcBorders>
              <w:top w:val="nil"/>
              <w:left w:val="nil"/>
              <w:bottom w:val="single" w:color="000000" w:sz="6" w:space="0"/>
              <w:right w:val="single" w:color="000000" w:sz="6" w:space="0"/>
            </w:tcBorders>
            <w:noWrap w:val="0"/>
            <w:vAlign w:val="center"/>
          </w:tcPr>
          <w:p w14:paraId="5FE2C38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DNS服务器</w:t>
            </w:r>
          </w:p>
        </w:tc>
        <w:tc>
          <w:tcPr>
            <w:tcW w:w="1315" w:type="dxa"/>
            <w:tcBorders>
              <w:top w:val="nil"/>
              <w:left w:val="nil"/>
              <w:bottom w:val="single" w:color="000000" w:sz="6" w:space="0"/>
              <w:right w:val="single" w:color="000000" w:sz="6" w:space="0"/>
            </w:tcBorders>
            <w:noWrap w:val="0"/>
            <w:vAlign w:val="center"/>
          </w:tcPr>
          <w:p w14:paraId="3EC8AF5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1天一次</w:t>
            </w:r>
          </w:p>
        </w:tc>
        <w:tc>
          <w:tcPr>
            <w:tcW w:w="1559" w:type="dxa"/>
            <w:tcBorders>
              <w:top w:val="nil"/>
              <w:left w:val="nil"/>
              <w:bottom w:val="single" w:color="000000" w:sz="6" w:space="0"/>
              <w:right w:val="single" w:color="000000" w:sz="6" w:space="0"/>
            </w:tcBorders>
            <w:noWrap w:val="0"/>
            <w:vAlign w:val="center"/>
          </w:tcPr>
          <w:p w14:paraId="7EC990D9">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是否正常运行</w:t>
            </w:r>
          </w:p>
        </w:tc>
        <w:tc>
          <w:tcPr>
            <w:tcW w:w="1300" w:type="dxa"/>
            <w:tcBorders>
              <w:top w:val="nil"/>
              <w:left w:val="nil"/>
              <w:bottom w:val="single" w:color="000000" w:sz="6" w:space="0"/>
              <w:right w:val="single" w:color="000000" w:sz="6" w:space="0"/>
            </w:tcBorders>
            <w:noWrap w:val="0"/>
            <w:vAlign w:val="center"/>
          </w:tcPr>
          <w:p w14:paraId="2325356F">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Ping DNS服务器及访问外网</w:t>
            </w:r>
          </w:p>
        </w:tc>
        <w:tc>
          <w:tcPr>
            <w:tcW w:w="1212" w:type="dxa"/>
            <w:tcBorders>
              <w:top w:val="nil"/>
              <w:left w:val="nil"/>
              <w:bottom w:val="single" w:color="000000" w:sz="6" w:space="0"/>
              <w:right w:val="nil"/>
            </w:tcBorders>
            <w:noWrap w:val="0"/>
            <w:vAlign w:val="center"/>
          </w:tcPr>
          <w:p w14:paraId="7D3096F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巡检记录表格</w:t>
            </w:r>
          </w:p>
        </w:tc>
      </w:tr>
      <w:tr w14:paraId="70B3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40" w:type="dxa"/>
            <w:tcBorders>
              <w:top w:val="nil"/>
              <w:left w:val="nil"/>
              <w:bottom w:val="single" w:color="000000" w:sz="6" w:space="0"/>
              <w:right w:val="single" w:color="000000" w:sz="6" w:space="0"/>
            </w:tcBorders>
            <w:noWrap w:val="0"/>
            <w:vAlign w:val="center"/>
          </w:tcPr>
          <w:p w14:paraId="04F06FD3">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态势感知、VPN、反向代理、防火墙、WEB防篡改等设备</w:t>
            </w:r>
          </w:p>
        </w:tc>
        <w:tc>
          <w:tcPr>
            <w:tcW w:w="1315" w:type="dxa"/>
            <w:tcBorders>
              <w:top w:val="nil"/>
              <w:left w:val="nil"/>
              <w:bottom w:val="single" w:color="000000" w:sz="6" w:space="0"/>
              <w:right w:val="single" w:color="000000" w:sz="6" w:space="0"/>
            </w:tcBorders>
            <w:noWrap w:val="0"/>
            <w:vAlign w:val="center"/>
          </w:tcPr>
          <w:p w14:paraId="3DF3EA9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1天一次</w:t>
            </w:r>
          </w:p>
        </w:tc>
        <w:tc>
          <w:tcPr>
            <w:tcW w:w="1559" w:type="dxa"/>
            <w:tcBorders>
              <w:top w:val="nil"/>
              <w:left w:val="nil"/>
              <w:bottom w:val="single" w:color="000000" w:sz="6" w:space="0"/>
              <w:right w:val="single" w:color="000000" w:sz="6" w:space="0"/>
            </w:tcBorders>
            <w:noWrap w:val="0"/>
            <w:vAlign w:val="center"/>
          </w:tcPr>
          <w:p w14:paraId="3424C5CF">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磁盘空间、内存、cpu、表空间、日志、备份文件</w:t>
            </w:r>
          </w:p>
        </w:tc>
        <w:tc>
          <w:tcPr>
            <w:tcW w:w="1300" w:type="dxa"/>
            <w:tcBorders>
              <w:top w:val="nil"/>
              <w:left w:val="nil"/>
              <w:bottom w:val="single" w:color="000000" w:sz="6" w:space="0"/>
              <w:right w:val="single" w:color="000000" w:sz="6" w:space="0"/>
            </w:tcBorders>
            <w:noWrap w:val="0"/>
            <w:vAlign w:val="center"/>
          </w:tcPr>
          <w:p w14:paraId="28753A78">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使用远程登录数据库服务器检查</w:t>
            </w:r>
          </w:p>
        </w:tc>
        <w:tc>
          <w:tcPr>
            <w:tcW w:w="1212" w:type="dxa"/>
            <w:tcBorders>
              <w:top w:val="nil"/>
              <w:left w:val="nil"/>
              <w:bottom w:val="single" w:color="000000" w:sz="6" w:space="0"/>
              <w:right w:val="nil"/>
            </w:tcBorders>
            <w:noWrap w:val="0"/>
            <w:vAlign w:val="center"/>
          </w:tcPr>
          <w:p w14:paraId="756F0178">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巡检记录表格</w:t>
            </w:r>
          </w:p>
        </w:tc>
      </w:tr>
      <w:tr w14:paraId="03D6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40" w:type="dxa"/>
            <w:tcBorders>
              <w:top w:val="nil"/>
              <w:left w:val="nil"/>
              <w:bottom w:val="single" w:color="000000" w:sz="6" w:space="0"/>
              <w:right w:val="single" w:color="000000" w:sz="6" w:space="0"/>
            </w:tcBorders>
            <w:noWrap w:val="0"/>
            <w:vAlign w:val="center"/>
          </w:tcPr>
          <w:p w14:paraId="0679A052">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校园网、一卡通网络交换机状态</w:t>
            </w:r>
          </w:p>
        </w:tc>
        <w:tc>
          <w:tcPr>
            <w:tcW w:w="1315" w:type="dxa"/>
            <w:tcBorders>
              <w:top w:val="nil"/>
              <w:left w:val="nil"/>
              <w:bottom w:val="single" w:color="000000" w:sz="6" w:space="0"/>
              <w:right w:val="single" w:color="000000" w:sz="6" w:space="0"/>
            </w:tcBorders>
            <w:noWrap w:val="0"/>
            <w:vAlign w:val="center"/>
          </w:tcPr>
          <w:p w14:paraId="70CF3B4D">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每月一次</w:t>
            </w:r>
          </w:p>
        </w:tc>
        <w:tc>
          <w:tcPr>
            <w:tcW w:w="1559" w:type="dxa"/>
            <w:tcBorders>
              <w:top w:val="nil"/>
              <w:left w:val="nil"/>
              <w:bottom w:val="single" w:color="000000" w:sz="6" w:space="0"/>
              <w:right w:val="single" w:color="000000" w:sz="6" w:space="0"/>
            </w:tcBorders>
            <w:noWrap w:val="0"/>
            <w:vAlign w:val="center"/>
          </w:tcPr>
          <w:p w14:paraId="3295A971">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是否正常运行</w:t>
            </w:r>
          </w:p>
        </w:tc>
        <w:tc>
          <w:tcPr>
            <w:tcW w:w="1300" w:type="dxa"/>
            <w:tcBorders>
              <w:top w:val="nil"/>
              <w:left w:val="nil"/>
              <w:bottom w:val="single" w:color="000000" w:sz="6" w:space="0"/>
              <w:right w:val="single" w:color="000000" w:sz="6" w:space="0"/>
            </w:tcBorders>
            <w:noWrap w:val="0"/>
            <w:vAlign w:val="center"/>
          </w:tcPr>
          <w:p w14:paraId="68E2BFB7">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Show cpu、Show log等</w:t>
            </w:r>
          </w:p>
        </w:tc>
        <w:tc>
          <w:tcPr>
            <w:tcW w:w="1212" w:type="dxa"/>
            <w:tcBorders>
              <w:top w:val="nil"/>
              <w:left w:val="nil"/>
              <w:bottom w:val="single" w:color="000000" w:sz="6" w:space="0"/>
              <w:right w:val="nil"/>
            </w:tcBorders>
            <w:noWrap w:val="0"/>
            <w:vAlign w:val="center"/>
          </w:tcPr>
          <w:p w14:paraId="767303FA">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巡检记录表格</w:t>
            </w:r>
          </w:p>
        </w:tc>
      </w:tr>
      <w:tr w14:paraId="248E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40" w:type="dxa"/>
            <w:tcBorders>
              <w:top w:val="nil"/>
              <w:left w:val="nil"/>
              <w:bottom w:val="nil"/>
              <w:right w:val="single" w:color="000000" w:sz="6" w:space="0"/>
            </w:tcBorders>
            <w:noWrap w:val="0"/>
            <w:vAlign w:val="center"/>
          </w:tcPr>
          <w:p w14:paraId="31717C1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弱电间、楼宇弱电箱</w:t>
            </w:r>
          </w:p>
        </w:tc>
        <w:tc>
          <w:tcPr>
            <w:tcW w:w="1315" w:type="dxa"/>
            <w:tcBorders>
              <w:top w:val="nil"/>
              <w:left w:val="nil"/>
              <w:bottom w:val="nil"/>
              <w:right w:val="single" w:color="000000" w:sz="6" w:space="0"/>
            </w:tcBorders>
            <w:noWrap w:val="0"/>
            <w:vAlign w:val="center"/>
          </w:tcPr>
          <w:p w14:paraId="46FBBEC4">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每月轮一次</w:t>
            </w:r>
          </w:p>
        </w:tc>
        <w:tc>
          <w:tcPr>
            <w:tcW w:w="1559" w:type="dxa"/>
            <w:tcBorders>
              <w:top w:val="nil"/>
              <w:left w:val="nil"/>
              <w:bottom w:val="nil"/>
              <w:right w:val="single" w:color="000000" w:sz="6" w:space="0"/>
            </w:tcBorders>
            <w:noWrap w:val="0"/>
            <w:vAlign w:val="center"/>
          </w:tcPr>
          <w:p w14:paraId="47C41F7A">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是否有私拉乱接、杂物堆放等异常情况</w:t>
            </w:r>
          </w:p>
        </w:tc>
        <w:tc>
          <w:tcPr>
            <w:tcW w:w="1300" w:type="dxa"/>
            <w:tcBorders>
              <w:top w:val="nil"/>
              <w:left w:val="nil"/>
              <w:bottom w:val="nil"/>
              <w:right w:val="single" w:color="000000" w:sz="6" w:space="0"/>
            </w:tcBorders>
            <w:noWrap w:val="0"/>
            <w:vAlign w:val="center"/>
          </w:tcPr>
          <w:p w14:paraId="5BC63C15">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人工巡查</w:t>
            </w:r>
          </w:p>
        </w:tc>
        <w:tc>
          <w:tcPr>
            <w:tcW w:w="1212" w:type="dxa"/>
            <w:tcBorders>
              <w:top w:val="nil"/>
              <w:left w:val="nil"/>
              <w:bottom w:val="nil"/>
              <w:right w:val="nil"/>
            </w:tcBorders>
            <w:noWrap w:val="0"/>
            <w:vAlign w:val="center"/>
          </w:tcPr>
          <w:p w14:paraId="6498533B">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巡检记录表格</w:t>
            </w:r>
          </w:p>
          <w:p w14:paraId="3B5509B2">
            <w:pPr>
              <w:spacing w:line="240" w:lineRule="auto"/>
              <w:jc w:val="left"/>
              <w:rPr>
                <w:rFonts w:hint="eastAsia" w:asciiTheme="minorEastAsia" w:hAnsiTheme="minorEastAsia" w:eastAsiaTheme="minorEastAsia" w:cstheme="minorEastAsia"/>
                <w:sz w:val="24"/>
                <w:szCs w:val="24"/>
              </w:rPr>
            </w:pPr>
          </w:p>
        </w:tc>
      </w:tr>
    </w:tbl>
    <w:p w14:paraId="03BE42D9">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.7 培训。</w:t>
      </w:r>
      <w:r>
        <w:rPr>
          <w:rFonts w:hint="eastAsia" w:asciiTheme="minorEastAsia" w:hAnsiTheme="minorEastAsia" w:eastAsiaTheme="minorEastAsia" w:cstheme="minorEastAsia"/>
          <w:color w:val="000000"/>
          <w:sz w:val="28"/>
          <w:szCs w:val="28"/>
        </w:rPr>
        <w:t>为了提高采购人维护人员排除故障的能力，教会他们能够独立排除类似本次的故障，运维服务商在进行完毕现场故障排除或者现场宕机恢复后，应针对本次故障出现的原因和故障排除方法对采购人进行现场培训。培训对象为采购人设备维护人员，培训内容为本次故障出现的原因和排除方法。</w:t>
      </w:r>
    </w:p>
    <w:p w14:paraId="082113CD">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.8 系统升级。</w:t>
      </w:r>
      <w:r>
        <w:rPr>
          <w:rFonts w:hint="eastAsia" w:asciiTheme="minorEastAsia" w:hAnsiTheme="minorEastAsia" w:eastAsiaTheme="minorEastAsia" w:cstheme="minorEastAsia"/>
          <w:color w:val="000000"/>
          <w:sz w:val="28"/>
          <w:szCs w:val="28"/>
        </w:rPr>
        <w:t>运维服务商在设备厂商发布最新软件版本或补丁时，通知采购人，根据采购人需求提供升级软件/补丁软件，依照采购人的安排完成设备系统升级。</w:t>
      </w:r>
    </w:p>
    <w:p w14:paraId="0CAE4DD7">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.9 设备运行环境维护。</w:t>
      </w:r>
      <w:r>
        <w:rPr>
          <w:rFonts w:hint="eastAsia" w:asciiTheme="minorEastAsia" w:hAnsiTheme="minorEastAsia" w:eastAsiaTheme="minorEastAsia" w:cstheme="minorEastAsia"/>
          <w:color w:val="000000"/>
          <w:sz w:val="28"/>
          <w:szCs w:val="28"/>
        </w:rPr>
        <w:t>对运维范围内设备所处的运行环境进行日常维护，包括但不限于环境卫生打扫、设备除尘、线路整理、垃圾清运、设备拆装和搬运等。</w:t>
      </w:r>
    </w:p>
    <w:p w14:paraId="7168B330">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.10其它需求。</w:t>
      </w:r>
      <w:r>
        <w:rPr>
          <w:rFonts w:hint="eastAsia" w:asciiTheme="minorEastAsia" w:hAnsiTheme="minorEastAsia" w:eastAsiaTheme="minorEastAsia" w:cstheme="minorEastAsia"/>
          <w:color w:val="000000"/>
          <w:sz w:val="28"/>
          <w:szCs w:val="28"/>
        </w:rPr>
        <w:t>根据采购人要求，提供网络设备配置和优化服务，提供联网终端的故障处理乃至系统重装服务。</w:t>
      </w:r>
    </w:p>
    <w:p w14:paraId="4BC3D197">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5</w:t>
      </w:r>
      <w:r>
        <w:rPr>
          <w:rFonts w:hint="eastAsia" w:asciiTheme="minorEastAsia" w:hAnsiTheme="minorEastAsia" w:eastAsiaTheme="minorEastAsia" w:cstheme="minorEastAsia"/>
          <w:b/>
          <w:color w:val="000000"/>
          <w:sz w:val="28"/>
          <w:szCs w:val="28"/>
        </w:rPr>
        <w:t>. 运维服务管理平台要求</w:t>
      </w:r>
      <w:r>
        <w:rPr>
          <w:rFonts w:hint="eastAsia" w:asciiTheme="minorEastAsia" w:hAnsiTheme="minorEastAsia" w:eastAsiaTheme="minorEastAsia" w:cstheme="minorEastAsia"/>
          <w:color w:val="000000"/>
          <w:sz w:val="28"/>
          <w:szCs w:val="28"/>
        </w:rPr>
        <w:t>（需要供应商现场演示招标功能）</w:t>
      </w:r>
    </w:p>
    <w:p w14:paraId="1001792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为采购人提供一套运维服务管理平台，用以在线管理校园网络设备，要求所提供的运维服务管理平台提供包括但不限于以下功能：</w:t>
      </w:r>
    </w:p>
    <w:p w14:paraId="30544715">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（1）支持网页、APP等多种报修入口，可自定义“快速报修”模板，快速报修可关联知识库链接，便于用户报修参考；</w:t>
      </w:r>
    </w:p>
    <w:p w14:paraId="63E8F1CC">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（2）拥有独立“呼叫中心”和“统一客服中心”所有电话自动登记，支持和第三方监控软件的对接（RIIL 和ZABBIX），报警记录可转成工单；</w:t>
      </w:r>
    </w:p>
    <w:p w14:paraId="30A57DCB">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（3）使用短信通知作为用户反馈第一通知渠道，支持服务满意度反馈，用户可参与工单全过程，实时监督与评价；</w:t>
      </w:r>
    </w:p>
    <w:p w14:paraId="74EEA3A6">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（4）可自定义巡检任务，系统不但支持设备执行该计划，对组成设备的关系部件也需同样适用；</w:t>
      </w:r>
    </w:p>
    <w:p w14:paraId="45FCBA9D">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（5）对运维范围内设备建立设备台账，粘贴信息标签，支持APP二维码巡检和报修，对巡检有问题的设备进行一键报修，工单支持与扫码报修设备关联，可以查看该设备之前的报修处理记录。</w:t>
      </w:r>
    </w:p>
    <w:p w14:paraId="1995FD18">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lang w:val="en-US" w:eastAsia="zh-CN"/>
        </w:rPr>
        <w:t>6</w:t>
      </w:r>
      <w:r>
        <w:rPr>
          <w:rFonts w:hint="eastAsia" w:asciiTheme="minorEastAsia" w:hAnsiTheme="minorEastAsia" w:eastAsiaTheme="minorEastAsia" w:cstheme="minorEastAsia"/>
          <w:b/>
          <w:color w:val="000000"/>
          <w:sz w:val="28"/>
          <w:szCs w:val="28"/>
        </w:rPr>
        <w:t>. 安全保密要求</w:t>
      </w:r>
    </w:p>
    <w:p w14:paraId="003270A8">
      <w:pPr>
        <w:spacing w:line="240" w:lineRule="auto"/>
        <w:ind w:firstLine="560" w:firstLineChars="200"/>
        <w:jc w:val="lef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rPr>
        <w:t>运维服务商应向采购人提交《保密承诺书》，明确安全保密的内容、细则和违反协议所需要承担的责任。运维服务商应对运维服务人开展安全保密教育，签订《保密协议》。</w:t>
      </w:r>
    </w:p>
    <w:p w14:paraId="158EF48C">
      <w:pPr>
        <w:spacing w:line="24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、验收标准</w:t>
      </w:r>
    </w:p>
    <w:p w14:paraId="5B8D486A">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年度服务期满后，学校对网络驻场运维服务开展年度考核，给出年度考核得分，考核评分指标依据服务要求分项设置，主要包含电话支持、定期巡检、驻场值班、特殊日期值班、故障抢修、宣传培训、安全保密、运维平台管理、驻场人员综合情况等。</w:t>
      </w:r>
    </w:p>
    <w:p w14:paraId="1DA51FB9">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年度考核等级、得分与年度服务费结算直接挂钩，具体按下表执行：</w:t>
      </w:r>
    </w:p>
    <w:tbl>
      <w:tblPr>
        <w:tblStyle w:val="3"/>
        <w:tblW w:w="0" w:type="auto"/>
        <w:tblInd w:w="-10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134"/>
        <w:gridCol w:w="1134"/>
        <w:gridCol w:w="2490"/>
        <w:gridCol w:w="2804"/>
      </w:tblGrid>
      <w:tr w14:paraId="12B893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134" w:type="dxa"/>
            <w:tcBorders>
              <w:top w:val="nil"/>
              <w:left w:val="nil"/>
              <w:bottom w:val="nil"/>
              <w:right w:val="nil"/>
            </w:tcBorders>
            <w:noWrap w:val="0"/>
            <w:vAlign w:val="center"/>
          </w:tcPr>
          <w:p w14:paraId="346C6391">
            <w:pPr>
              <w:spacing w:line="240" w:lineRule="auto"/>
              <w:jc w:val="left"/>
              <w:rPr>
                <w:rFonts w:hint="eastAsia" w:asciiTheme="minorEastAsia" w:hAnsiTheme="minorEastAsia" w:eastAsiaTheme="minorEastAsia" w:cstheme="minorEastAsia"/>
                <w:sz w:val="28"/>
                <w:szCs w:val="28"/>
              </w:rPr>
            </w:pPr>
          </w:p>
        </w:tc>
        <w:tc>
          <w:tcPr>
            <w:tcW w:w="1134" w:type="dxa"/>
            <w:tcBorders>
              <w:top w:val="nil"/>
              <w:left w:val="nil"/>
              <w:bottom w:val="nil"/>
              <w:right w:val="nil"/>
            </w:tcBorders>
            <w:noWrap w:val="0"/>
            <w:vAlign w:val="center"/>
          </w:tcPr>
          <w:p w14:paraId="08C2E294">
            <w:pPr>
              <w:spacing w:line="240" w:lineRule="auto"/>
              <w:jc w:val="left"/>
              <w:rPr>
                <w:rFonts w:hint="eastAsia" w:asciiTheme="minorEastAsia" w:hAnsiTheme="minorEastAsia" w:eastAsiaTheme="minorEastAsia" w:cstheme="minorEastAsia"/>
                <w:sz w:val="28"/>
                <w:szCs w:val="28"/>
              </w:rPr>
            </w:pPr>
          </w:p>
        </w:tc>
        <w:tc>
          <w:tcPr>
            <w:tcW w:w="2490" w:type="dxa"/>
            <w:tcBorders>
              <w:top w:val="nil"/>
              <w:left w:val="nil"/>
              <w:bottom w:val="nil"/>
              <w:right w:val="nil"/>
            </w:tcBorders>
            <w:noWrap w:val="0"/>
            <w:vAlign w:val="center"/>
          </w:tcPr>
          <w:p w14:paraId="4BDF4C58">
            <w:pPr>
              <w:spacing w:line="240" w:lineRule="auto"/>
              <w:jc w:val="left"/>
              <w:rPr>
                <w:rFonts w:hint="eastAsia" w:asciiTheme="minorEastAsia" w:hAnsiTheme="minorEastAsia" w:eastAsiaTheme="minorEastAsia" w:cstheme="minorEastAsia"/>
                <w:sz w:val="28"/>
                <w:szCs w:val="28"/>
              </w:rPr>
            </w:pPr>
          </w:p>
        </w:tc>
        <w:tc>
          <w:tcPr>
            <w:tcW w:w="2804" w:type="dxa"/>
            <w:tcBorders>
              <w:top w:val="nil"/>
              <w:left w:val="nil"/>
              <w:bottom w:val="nil"/>
              <w:right w:val="nil"/>
            </w:tcBorders>
            <w:noWrap w:val="0"/>
            <w:vAlign w:val="center"/>
          </w:tcPr>
          <w:p w14:paraId="38C5FE58">
            <w:pPr>
              <w:spacing w:line="240" w:lineRule="auto"/>
              <w:jc w:val="left"/>
              <w:rPr>
                <w:rFonts w:hint="eastAsia" w:asciiTheme="minorEastAsia" w:hAnsiTheme="minorEastAsia" w:eastAsiaTheme="minorEastAsia" w:cstheme="minorEastAsia"/>
                <w:sz w:val="28"/>
                <w:szCs w:val="28"/>
              </w:rPr>
            </w:pPr>
          </w:p>
        </w:tc>
      </w:tr>
      <w:tr w14:paraId="133747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dxa"/>
            <w:tcBorders>
              <w:top w:val="nil"/>
              <w:left w:val="nil"/>
              <w:bottom w:val="single" w:color="000000" w:sz="6" w:space="0"/>
              <w:right w:val="single" w:color="000000" w:sz="6" w:space="0"/>
            </w:tcBorders>
            <w:noWrap w:val="0"/>
            <w:vAlign w:val="center"/>
          </w:tcPr>
          <w:p w14:paraId="26B71504">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考核等级</w:t>
            </w:r>
          </w:p>
        </w:tc>
        <w:tc>
          <w:tcPr>
            <w:tcW w:w="1134" w:type="dxa"/>
            <w:tcBorders>
              <w:top w:val="nil"/>
              <w:left w:val="nil"/>
              <w:bottom w:val="single" w:color="000000" w:sz="6" w:space="0"/>
              <w:right w:val="single" w:color="000000" w:sz="6" w:space="0"/>
            </w:tcBorders>
            <w:noWrap w:val="0"/>
            <w:vAlign w:val="center"/>
          </w:tcPr>
          <w:p w14:paraId="70DE2CDC">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考核得分</w:t>
            </w:r>
          </w:p>
        </w:tc>
        <w:tc>
          <w:tcPr>
            <w:tcW w:w="2490" w:type="dxa"/>
            <w:tcBorders>
              <w:top w:val="nil"/>
              <w:left w:val="nil"/>
              <w:bottom w:val="single" w:color="000000" w:sz="6" w:space="0"/>
              <w:right w:val="single" w:color="000000" w:sz="6" w:space="0"/>
            </w:tcBorders>
            <w:noWrap w:val="0"/>
            <w:vAlign w:val="center"/>
          </w:tcPr>
          <w:p w14:paraId="6EE9673B">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费用结算比例</w:t>
            </w:r>
          </w:p>
        </w:tc>
        <w:tc>
          <w:tcPr>
            <w:tcW w:w="2804" w:type="dxa"/>
            <w:tcBorders>
              <w:top w:val="nil"/>
              <w:left w:val="nil"/>
              <w:bottom w:val="single" w:color="000000" w:sz="6" w:space="0"/>
              <w:right w:val="nil"/>
            </w:tcBorders>
            <w:noWrap w:val="0"/>
            <w:vAlign w:val="center"/>
          </w:tcPr>
          <w:p w14:paraId="58D4CAF7">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color w:val="000000"/>
                <w:sz w:val="28"/>
                <w:szCs w:val="28"/>
              </w:rPr>
              <w:t>是否续签合同</w:t>
            </w:r>
          </w:p>
        </w:tc>
      </w:tr>
      <w:tr w14:paraId="7A7E63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dxa"/>
            <w:tcBorders>
              <w:top w:val="nil"/>
              <w:left w:val="nil"/>
              <w:bottom w:val="single" w:color="000000" w:sz="6" w:space="0"/>
              <w:right w:val="single" w:color="000000" w:sz="6" w:space="0"/>
            </w:tcBorders>
            <w:noWrap w:val="0"/>
            <w:vAlign w:val="center"/>
          </w:tcPr>
          <w:p w14:paraId="5E08602B">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优秀</w:t>
            </w:r>
          </w:p>
        </w:tc>
        <w:tc>
          <w:tcPr>
            <w:tcW w:w="1134" w:type="dxa"/>
            <w:tcBorders>
              <w:top w:val="nil"/>
              <w:left w:val="nil"/>
              <w:bottom w:val="single" w:color="000000" w:sz="6" w:space="0"/>
              <w:right w:val="single" w:color="000000" w:sz="6" w:space="0"/>
            </w:tcBorders>
            <w:noWrap w:val="0"/>
            <w:vAlign w:val="center"/>
          </w:tcPr>
          <w:p w14:paraId="76604527">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90≤考核得分</w:t>
            </w:r>
          </w:p>
        </w:tc>
        <w:tc>
          <w:tcPr>
            <w:tcW w:w="2490" w:type="dxa"/>
            <w:tcBorders>
              <w:top w:val="nil"/>
              <w:left w:val="nil"/>
              <w:bottom w:val="single" w:color="000000" w:sz="6" w:space="0"/>
              <w:right w:val="single" w:color="000000" w:sz="6" w:space="0"/>
            </w:tcBorders>
            <w:noWrap w:val="0"/>
            <w:vAlign w:val="center"/>
          </w:tcPr>
          <w:p w14:paraId="7633EEC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按合同年度服务价100%结算年度费用</w:t>
            </w:r>
          </w:p>
        </w:tc>
        <w:tc>
          <w:tcPr>
            <w:tcW w:w="2804" w:type="dxa"/>
            <w:tcBorders>
              <w:top w:val="nil"/>
              <w:left w:val="nil"/>
              <w:bottom w:val="single" w:color="000000" w:sz="6" w:space="0"/>
              <w:right w:val="nil"/>
            </w:tcBorders>
            <w:noWrap w:val="0"/>
            <w:vAlign w:val="center"/>
          </w:tcPr>
          <w:p w14:paraId="0B5D8F82">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可续签</w:t>
            </w:r>
          </w:p>
        </w:tc>
      </w:tr>
      <w:tr w14:paraId="4D81E7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dxa"/>
            <w:tcBorders>
              <w:top w:val="nil"/>
              <w:left w:val="nil"/>
              <w:bottom w:val="single" w:color="000000" w:sz="6" w:space="0"/>
              <w:right w:val="single" w:color="000000" w:sz="6" w:space="0"/>
            </w:tcBorders>
            <w:noWrap w:val="0"/>
            <w:vAlign w:val="center"/>
          </w:tcPr>
          <w:p w14:paraId="37970680">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及格</w:t>
            </w:r>
          </w:p>
        </w:tc>
        <w:tc>
          <w:tcPr>
            <w:tcW w:w="1134" w:type="dxa"/>
            <w:tcBorders>
              <w:top w:val="nil"/>
              <w:left w:val="nil"/>
              <w:bottom w:val="single" w:color="000000" w:sz="6" w:space="0"/>
              <w:right w:val="single" w:color="000000" w:sz="6" w:space="0"/>
            </w:tcBorders>
            <w:noWrap w:val="0"/>
            <w:vAlign w:val="center"/>
          </w:tcPr>
          <w:p w14:paraId="4A94BEC9">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80≤考核得分&lt;90</w:t>
            </w:r>
          </w:p>
        </w:tc>
        <w:tc>
          <w:tcPr>
            <w:tcW w:w="2490" w:type="dxa"/>
            <w:tcBorders>
              <w:top w:val="nil"/>
              <w:left w:val="nil"/>
              <w:bottom w:val="single" w:color="000000" w:sz="6" w:space="0"/>
              <w:right w:val="single" w:color="000000" w:sz="6" w:space="0"/>
            </w:tcBorders>
            <w:noWrap w:val="0"/>
            <w:vAlign w:val="center"/>
          </w:tcPr>
          <w:p w14:paraId="5F8DE6FC">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按合同年度服务价×得分/100结算年度费用</w:t>
            </w:r>
          </w:p>
        </w:tc>
        <w:tc>
          <w:tcPr>
            <w:tcW w:w="2804" w:type="dxa"/>
            <w:tcBorders>
              <w:top w:val="nil"/>
              <w:left w:val="nil"/>
              <w:bottom w:val="single" w:color="000000" w:sz="6" w:space="0"/>
              <w:right w:val="nil"/>
            </w:tcBorders>
            <w:noWrap w:val="0"/>
            <w:vAlign w:val="center"/>
          </w:tcPr>
          <w:p w14:paraId="29C18F7B">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可续签</w:t>
            </w:r>
          </w:p>
        </w:tc>
      </w:tr>
      <w:tr w14:paraId="078447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dxa"/>
            <w:vMerge w:val="restart"/>
            <w:tcBorders>
              <w:top w:val="nil"/>
              <w:left w:val="nil"/>
              <w:bottom w:val="nil"/>
              <w:right w:val="single" w:color="000000" w:sz="6" w:space="0"/>
            </w:tcBorders>
            <w:noWrap w:val="0"/>
            <w:vAlign w:val="center"/>
          </w:tcPr>
          <w:p w14:paraId="7DC81D8F">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不及格</w:t>
            </w:r>
          </w:p>
        </w:tc>
        <w:tc>
          <w:tcPr>
            <w:tcW w:w="1134" w:type="dxa"/>
            <w:tcBorders>
              <w:top w:val="nil"/>
              <w:left w:val="nil"/>
              <w:bottom w:val="single" w:color="000000" w:sz="6" w:space="0"/>
              <w:right w:val="single" w:color="000000" w:sz="6" w:space="0"/>
            </w:tcBorders>
            <w:noWrap w:val="0"/>
            <w:vAlign w:val="center"/>
          </w:tcPr>
          <w:p w14:paraId="4E00C620">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60≤考核得分&lt;80</w:t>
            </w:r>
          </w:p>
        </w:tc>
        <w:tc>
          <w:tcPr>
            <w:tcW w:w="2490" w:type="dxa"/>
            <w:tcBorders>
              <w:top w:val="nil"/>
              <w:left w:val="nil"/>
              <w:bottom w:val="single" w:color="000000" w:sz="6" w:space="0"/>
              <w:right w:val="single" w:color="000000" w:sz="6" w:space="0"/>
            </w:tcBorders>
            <w:noWrap w:val="0"/>
            <w:vAlign w:val="center"/>
          </w:tcPr>
          <w:p w14:paraId="3EA80288">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按合同年度服务价×50%结算年度费用</w:t>
            </w:r>
          </w:p>
        </w:tc>
        <w:tc>
          <w:tcPr>
            <w:tcW w:w="2804" w:type="dxa"/>
            <w:tcBorders>
              <w:top w:val="nil"/>
              <w:left w:val="nil"/>
              <w:bottom w:val="single" w:color="000000" w:sz="6" w:space="0"/>
              <w:right w:val="nil"/>
            </w:tcBorders>
            <w:noWrap w:val="0"/>
            <w:vAlign w:val="center"/>
          </w:tcPr>
          <w:p w14:paraId="79D383EB">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不续签</w:t>
            </w:r>
          </w:p>
        </w:tc>
      </w:tr>
      <w:tr w14:paraId="2D9829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4" w:type="dxa"/>
            <w:vMerge w:val="continue"/>
            <w:tcBorders>
              <w:top w:val="nil"/>
              <w:left w:val="nil"/>
              <w:bottom w:val="nil"/>
              <w:right w:val="single" w:color="000000" w:sz="6" w:space="0"/>
            </w:tcBorders>
            <w:noWrap w:val="0"/>
            <w:vAlign w:val="top"/>
          </w:tcPr>
          <w:p w14:paraId="00C0BAB7">
            <w:pPr>
              <w:spacing w:line="240" w:lineRule="auto"/>
              <w:rPr>
                <w:rFonts w:hint="eastAsia" w:asciiTheme="minorEastAsia" w:hAnsiTheme="minorEastAsia" w:eastAsiaTheme="minorEastAsia" w:cstheme="minorEastAsia"/>
                <w:sz w:val="28"/>
                <w:szCs w:val="28"/>
              </w:rPr>
            </w:pPr>
          </w:p>
        </w:tc>
        <w:tc>
          <w:tcPr>
            <w:tcW w:w="1134" w:type="dxa"/>
            <w:tcBorders>
              <w:top w:val="nil"/>
              <w:left w:val="nil"/>
              <w:bottom w:val="nil"/>
              <w:right w:val="single" w:color="000000" w:sz="6" w:space="0"/>
            </w:tcBorders>
            <w:noWrap w:val="0"/>
            <w:vAlign w:val="center"/>
          </w:tcPr>
          <w:p w14:paraId="3FBB4BEE">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考核得分&lt;60</w:t>
            </w:r>
          </w:p>
        </w:tc>
        <w:tc>
          <w:tcPr>
            <w:tcW w:w="2490" w:type="dxa"/>
            <w:tcBorders>
              <w:top w:val="nil"/>
              <w:left w:val="nil"/>
              <w:bottom w:val="nil"/>
              <w:right w:val="single" w:color="000000" w:sz="6" w:space="0"/>
            </w:tcBorders>
            <w:noWrap w:val="0"/>
            <w:vAlign w:val="center"/>
          </w:tcPr>
          <w:p w14:paraId="6CCD73BD">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学校不支付任何费用</w:t>
            </w:r>
          </w:p>
        </w:tc>
        <w:tc>
          <w:tcPr>
            <w:tcW w:w="2804" w:type="dxa"/>
            <w:tcBorders>
              <w:top w:val="nil"/>
              <w:left w:val="nil"/>
              <w:bottom w:val="nil"/>
              <w:right w:val="nil"/>
            </w:tcBorders>
            <w:noWrap w:val="0"/>
            <w:vAlign w:val="center"/>
          </w:tcPr>
          <w:p w14:paraId="5002B410">
            <w:pPr>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不续签</w:t>
            </w:r>
          </w:p>
        </w:tc>
      </w:tr>
    </w:tbl>
    <w:p w14:paraId="03F8653F">
      <w:pPr>
        <w:tabs>
          <w:tab w:val="left" w:pos="6200"/>
        </w:tabs>
        <w:spacing w:line="240" w:lineRule="auto"/>
        <w:rPr>
          <w:rFonts w:hint="eastAsia" w:asciiTheme="minorEastAsia" w:hAnsiTheme="minorEastAsia" w:eastAsiaTheme="minorEastAsia" w:cstheme="minorEastAsia"/>
          <w:b/>
          <w:sz w:val="28"/>
          <w:szCs w:val="28"/>
        </w:rPr>
      </w:pPr>
    </w:p>
    <w:p w14:paraId="21CECEB2">
      <w:pPr>
        <w:spacing w:line="240" w:lineRule="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四、运维服务平台</w:t>
      </w:r>
    </w:p>
    <w:p w14:paraId="12E22ED2">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要求维保供应商为采购人提供一套运维服务管理平台。可用于管理IT服务和支持流程。通常包括报修入口、服务台、事件管理、自助服务，任务管理、满意度管理、知识库等功能。</w:t>
      </w:r>
    </w:p>
    <w:p w14:paraId="71C3F64E">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（1）支持网页、APP等多种报修入口，可自定义“快速报修”模板，快速报修可关联知识库链接，便于用户报修参考；</w:t>
      </w:r>
    </w:p>
    <w:p w14:paraId="6E08277E">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（2）拥有独立“呼叫中心”和“统一客服中心”所有电话自动登记，支持和第三方监控软件的对接（RIIL 和ZABBIX），报警记录可转成工单；</w:t>
      </w:r>
    </w:p>
    <w:p w14:paraId="6548F87A">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（3）使用短信通知作为用户反馈第一通知渠道，支持服务满意度反馈，用户可参与工单全过程，实时监督与评价；</w:t>
      </w:r>
    </w:p>
    <w:p w14:paraId="65F69D6D">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（4）可自定义巡检任务，系统不但支持设备执行该计划，对组成设备的关系部件也需同样适用；</w:t>
      </w:r>
    </w:p>
    <w:p w14:paraId="15AD2137">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对运维范围内设备建立设备台账，粘贴信息标签，支持APP二维码巡检和报修，对巡检有问题的设备进行一键报修，工单支持与扫码报修设备关联，可以查看该设备之前的报修处理记录。（以上功能为非实质性要求，根据评分标准打分）</w:t>
      </w:r>
    </w:p>
    <w:p w14:paraId="0F570B68">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需按照对上述功能要求进行演示制作演示视频文件，视频文件的格式为*.mp4或*.avi，供应商须将视频文件分段压缩为*.zip文件上传（单个文件不得大于50M，所有文件总共不得大于300M）。文件上传方式见《操作手册》规定，上传的演示视频将作为响应文件的组成部分，视频时长总计不超过</w:t>
      </w:r>
      <w:r>
        <w:rPr>
          <w:rFonts w:hint="eastAsia" w:asciiTheme="minorEastAsia" w:hAnsiTheme="minorEastAsia" w:eastAsiaTheme="minorEastAsia" w:cstheme="minorEastAsia"/>
          <w:sz w:val="28"/>
          <w:szCs w:val="28"/>
          <w:u w:val="single"/>
        </w:rPr>
        <w:t>15</w:t>
      </w:r>
      <w:r>
        <w:rPr>
          <w:rFonts w:hint="eastAsia" w:asciiTheme="minorEastAsia" w:hAnsiTheme="minorEastAsia" w:eastAsiaTheme="minorEastAsia" w:cstheme="minorEastAsia"/>
          <w:sz w:val="28"/>
          <w:szCs w:val="28"/>
        </w:rPr>
        <w:t>分钟。</w:t>
      </w:r>
    </w:p>
    <w:p w14:paraId="73DFC6D6">
      <w:pPr>
        <w:tabs>
          <w:tab w:val="left" w:pos="6200"/>
        </w:tabs>
        <w:spacing w:line="240" w:lineRule="auto"/>
        <w:ind w:firstLine="281" w:firstLine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五、方案要求</w:t>
      </w:r>
    </w:p>
    <w:p w14:paraId="0AF9C1A7">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方案体现运维服务商运维管理、服务水平和综合能力。</w:t>
      </w:r>
    </w:p>
    <w:p w14:paraId="12429B1B">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状理解：通过现场勘察或提前联系获取相关材料，研究网络拓扑图、分析用户各类网络故障、收集主要网络设备配置信息和网络用户需求等方法，要求运维服务提供商对学校现有的IT基础设施、系统架构、业务流程进行全面评估。理解客户的业务需求和IT服务如何支持这些需求。识别当前IT环境中的潜在风险和弱点。</w:t>
      </w:r>
    </w:p>
    <w:p w14:paraId="0520E41D">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方案：根据学校的具体需求提供定制化的服务方案，包括但不限于服务体系、服务承诺、服务范围等，明确服务的质量和响应时间标准，项目人员及其各自的角色、职责，并确保服务方案与现有的技术架构兼容。</w:t>
      </w:r>
    </w:p>
    <w:p w14:paraId="36F4B060">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维护巡检方案：可参考具体巡检项目清单表，包括但不限于巡检周期（可设定为每日、每周、每月等不同的巡检周期）、巡检内容、巡检记录、并对巡检记录和维护数据进行定期分析出具巡检报告等内容。</w:t>
      </w:r>
    </w:p>
    <w:p w14:paraId="0B868D3C">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急响应：建立应急响应方案，并明确方案的适用范围，根据突发事件的严重程度和影响范围，设定不同级别的应急预案。在校园网发生故障时，能够迅速响应并采取措施，启动应急预案，制定并测试应急响应计划，以最小化服务中断的影响。在紧急情况下，确保与学校主管部门保持有效沟通。定期组织应急响应培训，提高驻场人员的应急响应意识和能力。</w:t>
      </w:r>
    </w:p>
    <w:p w14:paraId="0B6BAC93">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运维文档管理：定期对运维文档进行审查和更新，确保文档内容的时效性和适用性。建立和维护一个知识库，包括文档的分类、编号、存储、备份、更新等各个环节，确保文档的有序性和可追溯性。</w:t>
      </w:r>
    </w:p>
    <w:p w14:paraId="03156A1D">
      <w:pPr>
        <w:tabs>
          <w:tab w:val="left" w:pos="6200"/>
        </w:tabs>
        <w:spacing w:line="240" w:lineRule="auto"/>
        <w:ind w:firstLine="281" w:firstLineChars="10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六、履约能力要求</w:t>
      </w:r>
    </w:p>
    <w:p w14:paraId="240D7261">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项目应设立项目负责人和技术负责人，且具备相应的资质证书。</w:t>
      </w:r>
    </w:p>
    <w:p w14:paraId="06215768">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根据招标文件“技术要求”组建驻场服务小组。驻场运维小组应具备网络工程师、IT服务工程师、CISAW信息安全保障人员、特种作业操作资格证（低压电工）、主流网络设备厂家（华为、华三、锐捷等）认证等证书。</w:t>
      </w:r>
    </w:p>
    <w:p w14:paraId="22274265">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供应商具有CCRC信息安全服务资质认证证书-信息系统安全运维资质证书和CCIA信息系统业务安全服务资质。（以上功能为非实质性要求，根据评分标准打分）</w:t>
      </w:r>
    </w:p>
    <w:p w14:paraId="2CE9BA92">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供应商具有运维服务相关案例，通过实际项目进行了人员能力提升和实战经验积累。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OGViODQxNGJkNTRjNmE1MDc4YzdlYzZkMDNmMWEifQ=="/>
  </w:docVars>
  <w:rsids>
    <w:rsidRoot w:val="00000000"/>
    <w:rsid w:val="1C33290E"/>
    <w:rsid w:val="222428D7"/>
    <w:rsid w:val="344D1145"/>
    <w:rsid w:val="54834959"/>
    <w:rsid w:val="5BDB0AEC"/>
    <w:rsid w:val="5F2F3381"/>
    <w:rsid w:val="6EBB79D6"/>
    <w:rsid w:val="7405437F"/>
    <w:rsid w:val="78260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6296</Words>
  <Characters>6497</Characters>
  <Lines>0</Lines>
  <Paragraphs>0</Paragraphs>
  <TotalTime>163</TotalTime>
  <ScaleCrop>false</ScaleCrop>
  <LinksUpToDate>false</LinksUpToDate>
  <CharactersWithSpaces>6522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2024-09-19T09:14:00Z</dcterms:created>
  <dc:creator>Administrator</dc:creator>
  <cp:lastModifiedBy>WPS_1337793320</cp:lastModifiedBy>
  <cp:lastPrinted>2024-09-19T15:21:00Z</cp:lastPrinted>
  <dcterms:modified xsi:type="dcterms:W3CDTF">2024-09-25T06:01:57Z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FAD8FDEDBD2346FA85DC4222EC143769_12</vt:lpwstr>
  </property>
</Properties>
</file>