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74AD0">
      <w:pPr>
        <w:widowControl/>
        <w:spacing w:line="520" w:lineRule="exact"/>
        <w:ind w:firstLine="0" w:firstLineChars="0"/>
        <w:jc w:val="left"/>
        <w:rPr>
          <w:rFonts w:hint="eastAsia" w:ascii="方正小标宋简体" w:hAnsi="方正小标宋简体" w:eastAsia="方正小标宋简体" w:cs="方正小标宋简体"/>
          <w:b/>
          <w:bCs/>
          <w:sz w:val="32"/>
          <w:szCs w:val="32"/>
        </w:rPr>
      </w:pPr>
    </w:p>
    <w:p w14:paraId="09ADB49B">
      <w:pPr>
        <w:widowControl/>
        <w:spacing w:line="400" w:lineRule="exact"/>
        <w:ind w:firstLine="0" w:firstLineChars="0"/>
        <w:jc w:val="center"/>
        <w:rPr>
          <w:rFonts w:hint="eastAsia" w:ascii="方正小标宋简体" w:hAnsi="方正小标宋简体" w:eastAsia="方正小标宋简体" w:cs="方正小标宋简体"/>
          <w:b/>
          <w:bCs/>
          <w:sz w:val="32"/>
          <w:szCs w:val="32"/>
        </w:rPr>
      </w:pPr>
    </w:p>
    <w:p w14:paraId="67F643C5">
      <w:pPr>
        <w:widowControl/>
        <w:spacing w:line="400" w:lineRule="exact"/>
        <w:ind w:firstLine="0" w:firstLineChars="0"/>
        <w:jc w:val="center"/>
        <w:rPr>
          <w:rFonts w:hint="eastAsia" w:ascii="方正小标宋简体" w:hAnsi="方正小标宋简体" w:eastAsia="方正小标宋简体" w:cs="方正小标宋简体"/>
          <w:b/>
          <w:bCs/>
          <w:sz w:val="32"/>
          <w:szCs w:val="32"/>
        </w:rPr>
      </w:pPr>
      <w:r>
        <w:rPr>
          <w:rFonts w:hint="eastAsia" w:ascii="方正小标宋简体" w:hAnsi="方正小标宋简体" w:eastAsia="方正小标宋简体" w:cs="方正小标宋简体"/>
          <w:b/>
          <w:bCs/>
          <w:sz w:val="32"/>
          <w:szCs w:val="32"/>
          <w:lang w:val="en-US" w:eastAsia="zh-CN"/>
        </w:rPr>
        <w:t>毕业</w:t>
      </w:r>
      <w:r>
        <w:rPr>
          <w:rFonts w:hint="eastAsia" w:ascii="方正小标宋简体" w:hAnsi="方正小标宋简体" w:eastAsia="方正小标宋简体" w:cs="方正小标宋简体"/>
          <w:b/>
          <w:bCs/>
          <w:sz w:val="32"/>
          <w:szCs w:val="32"/>
        </w:rPr>
        <w:t>论文质量评估操作流程及功能说明</w:t>
      </w:r>
    </w:p>
    <w:p w14:paraId="6D92D5DF">
      <w:pPr>
        <w:widowControl/>
        <w:spacing w:line="400" w:lineRule="exact"/>
        <w:ind w:firstLine="643"/>
        <w:jc w:val="center"/>
        <w:rPr>
          <w:rFonts w:hint="eastAsia" w:ascii="方正小标宋简体" w:hAnsi="方正小标宋简体" w:eastAsia="方正小标宋简体" w:cs="方正小标宋简体"/>
          <w:b/>
          <w:bCs/>
          <w:sz w:val="32"/>
          <w:szCs w:val="32"/>
        </w:rPr>
      </w:pPr>
    </w:p>
    <w:p w14:paraId="3523CF23">
      <w:pPr>
        <w:widowControl/>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毕业论文质量评估系统参照国家教学质量标准和省评估院的抽检标准，利用人工智能、大模型等创新技术从论文选题、摘要、字词用法、写作水平、内容质量、学术规范、文献综述、创新性等多个维度进行全面评估，通过训练大量文本数据深入评估论文选题、挖掘论文创新点、评估论文逻辑性等，自动生成论文质量评估报告。</w:t>
      </w:r>
    </w:p>
    <w:p w14:paraId="39CE46C2">
      <w:pPr>
        <w:snapToGrid w:val="0"/>
        <w:spacing w:line="540" w:lineRule="exact"/>
        <w:ind w:firstLine="600"/>
        <w:rPr>
          <w:rFonts w:hint="eastAsia" w:ascii="黑体" w:hAnsi="黑体" w:eastAsia="黑体" w:cs="宋体"/>
          <w:sz w:val="30"/>
          <w:szCs w:val="30"/>
        </w:rPr>
      </w:pPr>
      <w:r>
        <w:rPr>
          <w:rFonts w:hint="eastAsia" w:ascii="黑体" w:hAnsi="黑体" w:eastAsia="黑体" w:cs="宋体"/>
          <w:sz w:val="30"/>
          <w:szCs w:val="30"/>
        </w:rPr>
        <w:t>一、试用对象及说明</w:t>
      </w:r>
    </w:p>
    <w:p w14:paraId="397D6089">
      <w:pPr>
        <w:widowControl/>
        <w:wordWrap w:val="0"/>
        <w:spacing w:line="520" w:lineRule="exact"/>
        <w:ind w:firstLine="600"/>
        <w:rPr>
          <w:rFonts w:hint="eastAsia" w:ascii="仿宋" w:hAnsi="仿宋" w:eastAsia="仿宋" w:cs="仿宋"/>
          <w:sz w:val="30"/>
          <w:szCs w:val="30"/>
        </w:rPr>
      </w:pPr>
      <w:r>
        <w:rPr>
          <w:rFonts w:hint="eastAsia" w:ascii="仿宋" w:hAnsi="仿宋" w:eastAsia="仿宋" w:cs="仿宋"/>
          <w:sz w:val="30"/>
          <w:szCs w:val="30"/>
        </w:rPr>
        <w:t>（一）2025届全日制本科毕业生及指导教师。</w:t>
      </w:r>
    </w:p>
    <w:p w14:paraId="19ED3C5E">
      <w:pPr>
        <w:widowControl/>
        <w:wordWrap w:val="0"/>
        <w:spacing w:line="520" w:lineRule="exact"/>
        <w:ind w:firstLine="600"/>
        <w:rPr>
          <w:rFonts w:hint="eastAsia" w:ascii="仿宋" w:hAnsi="仿宋" w:eastAsia="仿宋" w:cs="仿宋"/>
          <w:sz w:val="30"/>
          <w:szCs w:val="30"/>
        </w:rPr>
      </w:pPr>
      <w:r>
        <w:rPr>
          <w:rFonts w:hint="eastAsia" w:ascii="仿宋" w:hAnsi="仿宋" w:eastAsia="仿宋" w:cs="仿宋"/>
          <w:sz w:val="30"/>
          <w:szCs w:val="30"/>
        </w:rPr>
        <w:t>（二）系统为每位学生提供1次“质量评估报告”检测机会（暂不支持日文）。</w:t>
      </w:r>
    </w:p>
    <w:p w14:paraId="3D319866">
      <w:pPr>
        <w:widowControl/>
        <w:wordWrap w:val="0"/>
        <w:spacing w:line="520" w:lineRule="exact"/>
        <w:ind w:firstLine="600"/>
        <w:rPr>
          <w:rFonts w:hint="eastAsia" w:ascii="仿宋" w:hAnsi="仿宋" w:eastAsia="仿宋" w:cs="宋体"/>
          <w:sz w:val="30"/>
          <w:szCs w:val="30"/>
        </w:rPr>
      </w:pPr>
      <w:r>
        <w:rPr>
          <w:rFonts w:hint="eastAsia" w:ascii="仿宋" w:hAnsi="仿宋" w:eastAsia="仿宋" w:cs="仿宋"/>
          <w:sz w:val="30"/>
          <w:szCs w:val="30"/>
        </w:rPr>
        <w:t>（三）支持pdf</w:t>
      </w:r>
      <w:r>
        <w:rPr>
          <w:rFonts w:hint="eastAsia" w:ascii="仿宋" w:hAnsi="仿宋" w:eastAsia="仿宋" w:cs="宋体"/>
          <w:sz w:val="30"/>
          <w:szCs w:val="30"/>
        </w:rPr>
        <w:t xml:space="preserve">格式论文，单文件不超过20MB/10万字。  </w:t>
      </w:r>
    </w:p>
    <w:p w14:paraId="32B04803">
      <w:pPr>
        <w:widowControl/>
        <w:spacing w:line="520" w:lineRule="exact"/>
        <w:ind w:firstLine="600"/>
        <w:rPr>
          <w:rFonts w:hint="eastAsia" w:ascii="黑体" w:hAnsi="黑体" w:eastAsia="黑体" w:cs="黑体"/>
          <w:sz w:val="30"/>
          <w:szCs w:val="30"/>
        </w:rPr>
      </w:pPr>
      <w:r>
        <w:rPr>
          <w:rFonts w:hint="eastAsia" w:ascii="黑体" w:hAnsi="黑体" w:eastAsia="黑体" w:cs="宋体"/>
          <w:sz w:val="30"/>
          <w:szCs w:val="30"/>
        </w:rPr>
        <w:t>二、</w:t>
      </w:r>
      <w:r>
        <w:rPr>
          <w:rFonts w:hint="eastAsia" w:ascii="黑体" w:hAnsi="黑体" w:eastAsia="黑体" w:cs="黑体"/>
          <w:sz w:val="30"/>
          <w:szCs w:val="30"/>
        </w:rPr>
        <w:t>操作流程</w:t>
      </w:r>
    </w:p>
    <w:p w14:paraId="2FC77574">
      <w:pPr>
        <w:widowControl/>
        <w:wordWrap w:val="0"/>
        <w:spacing w:line="520" w:lineRule="exact"/>
        <w:ind w:firstLine="600"/>
        <w:rPr>
          <w:rFonts w:hint="eastAsia" w:ascii="仿宋" w:hAnsi="仿宋" w:eastAsia="仿宋" w:cs="仿宋"/>
          <w:sz w:val="30"/>
          <w:szCs w:val="30"/>
        </w:rPr>
      </w:pPr>
      <w:r>
        <w:rPr>
          <w:rFonts w:hint="eastAsia" w:ascii="仿宋" w:hAnsi="仿宋" w:eastAsia="仿宋" w:cs="仿宋"/>
          <w:sz w:val="30"/>
          <w:szCs w:val="30"/>
        </w:rPr>
        <w:t>（一）师生及学院管理员登录平台（</w:t>
      </w:r>
      <w:r>
        <w:rPr>
          <w:rFonts w:hint="eastAsia" w:ascii="仿宋" w:hAnsi="仿宋" w:eastAsia="仿宋" w:cs="仿宋"/>
          <w:sz w:val="30"/>
          <w:szCs w:val="30"/>
          <w:shd w:val="clear" w:fill="FFFF00"/>
        </w:rPr>
        <w:t>http://c.qingyanedu.cn:8998/paper-web/home</w:t>
      </w:r>
      <w:r>
        <w:rPr>
          <w:rFonts w:hint="eastAsia" w:ascii="仿宋" w:hAnsi="仿宋" w:eastAsia="仿宋" w:cs="仿宋"/>
          <w:sz w:val="30"/>
          <w:szCs w:val="30"/>
        </w:rPr>
        <w:t>），点击“</w:t>
      </w:r>
      <w:r>
        <w:rPr>
          <w:rFonts w:hint="eastAsia" w:ascii="仿宋" w:hAnsi="仿宋" w:eastAsia="仿宋" w:cs="仿宋"/>
          <w:sz w:val="30"/>
          <w:szCs w:val="30"/>
          <w:shd w:val="clear" w:fill="FFFF00"/>
        </w:rPr>
        <w:t>立即登录</w:t>
      </w:r>
      <w:r>
        <w:rPr>
          <w:rFonts w:hint="eastAsia" w:ascii="仿宋" w:hAnsi="仿宋" w:eastAsia="仿宋" w:cs="仿宋"/>
          <w:sz w:val="30"/>
          <w:szCs w:val="30"/>
        </w:rPr>
        <w:t>”—“</w:t>
      </w:r>
      <w:r>
        <w:rPr>
          <w:rFonts w:hint="eastAsia" w:ascii="仿宋" w:hAnsi="仿宋" w:eastAsia="仿宋" w:cs="仿宋"/>
          <w:sz w:val="30"/>
          <w:szCs w:val="30"/>
          <w:shd w:val="clear" w:fill="FFFF00"/>
        </w:rPr>
        <w:t>校园用户登录</w:t>
      </w:r>
      <w:r>
        <w:rPr>
          <w:rFonts w:hint="eastAsia" w:ascii="仿宋" w:hAnsi="仿宋" w:eastAsia="仿宋" w:cs="仿宋"/>
          <w:sz w:val="30"/>
          <w:szCs w:val="30"/>
        </w:rPr>
        <w:t>”—选择“</w:t>
      </w:r>
      <w:r>
        <w:rPr>
          <w:rFonts w:hint="eastAsia" w:ascii="仿宋" w:hAnsi="仿宋" w:eastAsia="仿宋" w:cs="仿宋"/>
          <w:sz w:val="30"/>
          <w:szCs w:val="30"/>
          <w:highlight w:val="yellow"/>
          <w:lang w:val="en-US" w:eastAsia="zh-CN"/>
        </w:rPr>
        <w:t>无锡学院</w:t>
      </w:r>
      <w:r>
        <w:rPr>
          <w:rFonts w:hint="eastAsia" w:ascii="仿宋" w:hAnsi="仿宋" w:eastAsia="仿宋" w:cs="仿宋"/>
          <w:sz w:val="30"/>
          <w:szCs w:val="30"/>
        </w:rPr>
        <w:t>”—输入</w:t>
      </w:r>
      <w:r>
        <w:rPr>
          <w:rFonts w:hint="eastAsia" w:ascii="仿宋" w:hAnsi="仿宋" w:eastAsia="仿宋" w:cs="仿宋"/>
          <w:sz w:val="30"/>
          <w:szCs w:val="30"/>
          <w:lang w:eastAsia="zh-CN"/>
        </w:rPr>
        <w:t>“</w:t>
      </w:r>
      <w:r>
        <w:rPr>
          <w:rFonts w:hint="eastAsia" w:ascii="仿宋" w:hAnsi="仿宋" w:eastAsia="仿宋" w:cs="仿宋"/>
          <w:sz w:val="30"/>
          <w:szCs w:val="30"/>
          <w:shd w:val="clear" w:fill="FFFF00"/>
        </w:rPr>
        <w:t>账号和密码</w:t>
      </w:r>
      <w:r>
        <w:rPr>
          <w:rFonts w:hint="eastAsia" w:ascii="仿宋" w:hAnsi="仿宋" w:eastAsia="仿宋" w:cs="仿宋"/>
          <w:sz w:val="30"/>
          <w:szCs w:val="30"/>
          <w:lang w:eastAsia="zh-CN"/>
        </w:rPr>
        <w:t>”</w:t>
      </w:r>
      <w:r>
        <w:rPr>
          <w:rFonts w:hint="eastAsia" w:ascii="仿宋" w:hAnsi="仿宋" w:eastAsia="仿宋" w:cs="仿宋"/>
          <w:sz w:val="30"/>
          <w:szCs w:val="30"/>
        </w:rPr>
        <w:t>—选择“本</w:t>
      </w:r>
      <w:r>
        <w:rPr>
          <w:rFonts w:hint="eastAsia" w:ascii="仿宋" w:hAnsi="仿宋" w:eastAsia="仿宋" w:cs="仿宋"/>
          <w:sz w:val="30"/>
          <w:szCs w:val="30"/>
          <w:shd w:val="clear" w:fill="FFFF00"/>
        </w:rPr>
        <w:t>科毕业论文</w:t>
      </w:r>
      <w:r>
        <w:rPr>
          <w:rFonts w:hint="eastAsia" w:ascii="仿宋" w:hAnsi="仿宋" w:eastAsia="仿宋" w:cs="仿宋"/>
          <w:sz w:val="30"/>
          <w:szCs w:val="30"/>
        </w:rPr>
        <w:t>”和“</w:t>
      </w:r>
      <w:r>
        <w:rPr>
          <w:rFonts w:hint="eastAsia" w:ascii="仿宋" w:hAnsi="仿宋" w:eastAsia="仿宋" w:cs="仿宋"/>
          <w:sz w:val="30"/>
          <w:szCs w:val="30"/>
          <w:shd w:val="clear" w:fill="FFFF00"/>
        </w:rPr>
        <w:t>质量评估报告</w:t>
      </w:r>
      <w:r>
        <w:rPr>
          <w:rFonts w:hint="eastAsia" w:ascii="仿宋" w:hAnsi="仿宋" w:eastAsia="仿宋" w:cs="仿宋"/>
          <w:sz w:val="30"/>
          <w:szCs w:val="30"/>
        </w:rPr>
        <w:t>”—上传论文，开始评估。</w:t>
      </w:r>
    </w:p>
    <w:p w14:paraId="11F1BF3B">
      <w:pPr>
        <w:widowControl/>
        <w:wordWrap w:val="0"/>
        <w:spacing w:line="520" w:lineRule="exact"/>
        <w:ind w:firstLine="600"/>
        <w:rPr>
          <w:rFonts w:hint="eastAsia" w:ascii="仿宋" w:hAnsi="仿宋" w:eastAsia="仿宋" w:cs="仿宋"/>
          <w:sz w:val="30"/>
          <w:szCs w:val="30"/>
        </w:rPr>
      </w:pPr>
      <w:r>
        <w:rPr>
          <w:rFonts w:hint="eastAsia" w:ascii="仿宋" w:hAnsi="仿宋" w:eastAsia="仿宋" w:cs="仿宋"/>
          <w:sz w:val="30"/>
          <w:szCs w:val="30"/>
        </w:rPr>
        <w:t>（二）账号</w:t>
      </w:r>
      <w:r>
        <w:rPr>
          <w:rFonts w:hint="eastAsia" w:ascii="仿宋" w:hAnsi="仿宋" w:eastAsia="仿宋" w:cs="仿宋"/>
          <w:sz w:val="30"/>
          <w:szCs w:val="30"/>
          <w:lang w:eastAsia="zh-CN"/>
        </w:rPr>
        <w:t>：</w:t>
      </w:r>
      <w:r>
        <w:rPr>
          <w:rFonts w:hint="eastAsia" w:ascii="仿宋" w:hAnsi="仿宋" w:eastAsia="仿宋" w:cs="仿宋"/>
          <w:sz w:val="30"/>
          <w:szCs w:val="30"/>
          <w:highlight w:val="yellow"/>
          <w:lang w:val="en-US" w:eastAsia="zh-CN"/>
        </w:rPr>
        <w:t>wxu学号/工号</w:t>
      </w:r>
      <w:r>
        <w:rPr>
          <w:rFonts w:hint="eastAsia" w:ascii="仿宋" w:hAnsi="仿宋" w:eastAsia="仿宋" w:cs="仿宋"/>
          <w:sz w:val="30"/>
          <w:szCs w:val="30"/>
        </w:rPr>
        <w:t>，初始密码</w:t>
      </w:r>
      <w:r>
        <w:rPr>
          <w:rFonts w:hint="eastAsia" w:ascii="仿宋" w:hAnsi="仿宋" w:eastAsia="仿宋" w:cs="仿宋"/>
          <w:sz w:val="30"/>
          <w:szCs w:val="30"/>
          <w:lang w:eastAsia="zh-CN"/>
        </w:rPr>
        <w:t>：</w:t>
      </w:r>
      <w:r>
        <w:rPr>
          <w:rFonts w:hint="eastAsia" w:ascii="仿宋" w:hAnsi="仿宋" w:eastAsia="仿宋" w:cs="仿宋"/>
          <w:sz w:val="30"/>
          <w:szCs w:val="30"/>
          <w:highlight w:val="yellow"/>
          <w:lang w:val="en-US" w:eastAsia="zh-CN"/>
        </w:rPr>
        <w:t>已提前设置</w:t>
      </w:r>
      <w:r>
        <w:rPr>
          <w:rFonts w:hint="eastAsia" w:ascii="仿宋" w:hAnsi="仿宋" w:eastAsia="仿宋" w:cs="仿宋"/>
          <w:sz w:val="30"/>
          <w:szCs w:val="30"/>
        </w:rPr>
        <w:t>。</w:t>
      </w:r>
    </w:p>
    <w:p w14:paraId="0241F6FB">
      <w:pPr>
        <w:widowControl/>
        <w:wordWrap w:val="0"/>
        <w:spacing w:line="520" w:lineRule="exact"/>
        <w:ind w:firstLine="600"/>
        <w:rPr>
          <w:rFonts w:hint="eastAsia" w:ascii="仿宋" w:hAnsi="仿宋" w:eastAsia="仿宋" w:cs="仿宋"/>
          <w:sz w:val="30"/>
          <w:szCs w:val="30"/>
        </w:rPr>
      </w:pPr>
      <w:r>
        <w:rPr>
          <w:rFonts w:hint="eastAsia" w:ascii="仿宋" w:hAnsi="仿宋" w:eastAsia="仿宋" w:cs="仿宋"/>
          <w:sz w:val="30"/>
          <w:szCs w:val="30"/>
        </w:rPr>
        <w:t>（三）</w:t>
      </w:r>
      <w:r>
        <w:rPr>
          <w:rFonts w:hint="eastAsia" w:ascii="仿宋" w:hAnsi="仿宋" w:eastAsia="仿宋" w:cs="仿宋"/>
          <w:b/>
          <w:bCs/>
          <w:sz w:val="30"/>
          <w:szCs w:val="30"/>
        </w:rPr>
        <w:t>建议在查重检测、格式检测、AIGC检测完成无问题后进行检测，论文应经过规范排版。</w:t>
      </w:r>
      <w:r>
        <w:rPr>
          <w:rFonts w:hint="eastAsia" w:ascii="仿宋" w:hAnsi="仿宋" w:eastAsia="仿宋" w:cs="仿宋"/>
          <w:sz w:val="30"/>
          <w:szCs w:val="30"/>
        </w:rPr>
        <w:t>学生检测完成后，指导教师可登录查看论文质量评估报告，审核并修改AI评估结果。学生根据评估报告及教师审核意见，对论文进行修改。</w:t>
      </w:r>
    </w:p>
    <w:p w14:paraId="37ACA5AB">
      <w:pPr>
        <w:widowControl/>
        <w:wordWrap w:val="0"/>
        <w:spacing w:line="520" w:lineRule="exact"/>
        <w:ind w:firstLine="600"/>
        <w:rPr>
          <w:rFonts w:hint="eastAsia" w:ascii="黑体" w:hAnsi="黑体" w:eastAsia="黑体" w:cs="黑体"/>
          <w:color w:val="000000"/>
          <w:kern w:val="0"/>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四</w:t>
      </w:r>
      <w:r>
        <w:rPr>
          <w:rFonts w:hint="eastAsia" w:ascii="仿宋" w:hAnsi="仿宋" w:eastAsia="仿宋" w:cs="仿宋"/>
          <w:sz w:val="30"/>
          <w:szCs w:val="30"/>
        </w:rPr>
        <w:t>）</w:t>
      </w:r>
      <w:r>
        <w:rPr>
          <w:rFonts w:hint="eastAsia" w:ascii="仿宋" w:hAnsi="仿宋" w:eastAsia="仿宋" w:cs="仿宋"/>
          <w:b/>
          <w:bCs/>
          <w:sz w:val="30"/>
          <w:szCs w:val="30"/>
        </w:rPr>
        <w:t>本次检查结果将作为学生毕业论文中期检查能否通过的一个</w:t>
      </w:r>
      <w:r>
        <w:rPr>
          <w:rFonts w:hint="eastAsia" w:ascii="仿宋" w:hAnsi="仿宋" w:eastAsia="仿宋" w:cs="仿宋"/>
          <w:b/>
          <w:bCs/>
          <w:sz w:val="30"/>
          <w:szCs w:val="30"/>
          <w:highlight w:val="yellow"/>
        </w:rPr>
        <w:t>参考</w:t>
      </w:r>
      <w:r>
        <w:rPr>
          <w:rFonts w:hint="eastAsia" w:ascii="仿宋" w:hAnsi="仿宋" w:eastAsia="仿宋" w:cs="仿宋"/>
          <w:sz w:val="30"/>
          <w:szCs w:val="30"/>
        </w:rPr>
        <w:t>。原则上检测</w:t>
      </w:r>
      <w:r>
        <w:rPr>
          <w:rFonts w:hint="eastAsia" w:ascii="仿宋" w:hAnsi="仿宋" w:eastAsia="仿宋" w:cs="仿宋"/>
          <w:bCs/>
          <w:sz w:val="30"/>
          <w:szCs w:val="30"/>
        </w:rPr>
        <w:t>预估合格概率</w:t>
      </w:r>
      <w:r>
        <w:rPr>
          <w:rFonts w:hint="eastAsia" w:ascii="仿宋" w:hAnsi="仿宋" w:eastAsia="仿宋" w:cs="仿宋"/>
          <w:b/>
          <w:bCs/>
          <w:sz w:val="30"/>
          <w:szCs w:val="30"/>
        </w:rPr>
        <w:t>75%及以上可视为合格</w:t>
      </w:r>
      <w:r>
        <w:rPr>
          <w:rFonts w:hint="eastAsia" w:ascii="仿宋" w:hAnsi="仿宋" w:eastAsia="仿宋" w:cs="仿宋"/>
          <w:sz w:val="30"/>
          <w:szCs w:val="30"/>
        </w:rPr>
        <w:t>，但仍需指导老师</w:t>
      </w:r>
      <w:r>
        <w:rPr>
          <w:rFonts w:hint="eastAsia" w:ascii="仿宋" w:hAnsi="仿宋" w:eastAsia="仿宋" w:cs="仿宋"/>
          <w:b/>
          <w:sz w:val="30"/>
          <w:szCs w:val="30"/>
        </w:rPr>
        <w:t>根据学生的实际情况</w:t>
      </w:r>
      <w:r>
        <w:rPr>
          <w:rFonts w:hint="eastAsia" w:ascii="仿宋" w:hAnsi="仿宋" w:eastAsia="仿宋" w:cs="仿宋"/>
          <w:sz w:val="30"/>
          <w:szCs w:val="30"/>
        </w:rPr>
        <w:t>做出最终的实际判定。</w:t>
      </w:r>
    </w:p>
    <w:p w14:paraId="755C6A96">
      <w:pPr>
        <w:widowControl/>
        <w:spacing w:line="520" w:lineRule="exact"/>
        <w:ind w:firstLine="600"/>
        <w:outlineLvl w:val="0"/>
        <w:rPr>
          <w:rFonts w:hint="eastAsia" w:ascii="黑体" w:hAnsi="黑体" w:eastAsia="黑体" w:cs="黑体"/>
          <w:color w:val="000000"/>
          <w:kern w:val="0"/>
          <w:sz w:val="30"/>
          <w:szCs w:val="30"/>
        </w:rPr>
      </w:pPr>
    </w:p>
    <w:p w14:paraId="7571E8B0">
      <w:pPr>
        <w:widowControl/>
        <w:spacing w:line="520" w:lineRule="exact"/>
        <w:ind w:firstLine="600"/>
        <w:outlineLvl w:val="0"/>
        <w:rPr>
          <w:rFonts w:hint="eastAsia" w:ascii="黑体" w:hAnsi="黑体" w:eastAsia="黑体" w:cs="黑体"/>
          <w:color w:val="000000"/>
          <w:kern w:val="0"/>
          <w:sz w:val="30"/>
          <w:szCs w:val="30"/>
        </w:rPr>
      </w:pPr>
      <w:r>
        <w:rPr>
          <w:rFonts w:hint="eastAsia" w:ascii="黑体" w:hAnsi="黑体" w:eastAsia="黑体" w:cs="黑体"/>
          <w:color w:val="000000"/>
          <w:kern w:val="0"/>
          <w:sz w:val="30"/>
          <w:szCs w:val="30"/>
        </w:rPr>
        <w:t>三、管理端功能说明</w:t>
      </w:r>
    </w:p>
    <w:p w14:paraId="2DF88CDE">
      <w:pPr>
        <w:widowControl/>
        <w:spacing w:line="520" w:lineRule="exact"/>
        <w:ind w:firstLine="602"/>
        <w:outlineLvl w:val="1"/>
        <w:rPr>
          <w:rFonts w:hint="eastAsia" w:ascii="楷体_GB2312" w:hAnsi="楷体_GB2312" w:eastAsia="楷体_GB2312" w:cs="楷体_GB2312"/>
          <w:b/>
          <w:bCs/>
          <w:color w:val="000000"/>
          <w:kern w:val="0"/>
          <w:sz w:val="30"/>
          <w:szCs w:val="30"/>
        </w:rPr>
      </w:pPr>
      <w:r>
        <w:rPr>
          <w:rFonts w:hint="eastAsia" w:ascii="楷体_GB2312" w:hAnsi="楷体_GB2312" w:eastAsia="楷体_GB2312" w:cs="楷体_GB2312"/>
          <w:b/>
          <w:bCs/>
          <w:color w:val="000000"/>
          <w:kern w:val="0"/>
          <w:sz w:val="30"/>
          <w:szCs w:val="30"/>
        </w:rPr>
        <w:t>（一）导师信息管理</w:t>
      </w:r>
    </w:p>
    <w:p w14:paraId="3340EDE7">
      <w:pPr>
        <w:widowControl/>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1.支持添加、修改、删除导师信息。</w:t>
      </w:r>
    </w:p>
    <w:p w14:paraId="5CF374CF">
      <w:pPr>
        <w:widowControl/>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2.支持分配、调整学生到对应的导师，支持修改负责导师。</w:t>
      </w:r>
    </w:p>
    <w:p w14:paraId="02D50464">
      <w:pPr>
        <w:widowControl/>
        <w:spacing w:line="520" w:lineRule="exact"/>
        <w:ind w:firstLine="602"/>
        <w:outlineLvl w:val="1"/>
        <w:rPr>
          <w:rFonts w:hint="eastAsia" w:ascii="楷体_GB2312" w:hAnsi="楷体_GB2312" w:eastAsia="楷体_GB2312" w:cs="楷体_GB2312"/>
          <w:b/>
          <w:bCs/>
          <w:color w:val="000000"/>
          <w:kern w:val="0"/>
          <w:sz w:val="30"/>
          <w:szCs w:val="30"/>
        </w:rPr>
      </w:pPr>
      <w:r>
        <w:rPr>
          <w:rFonts w:hint="eastAsia" w:ascii="楷体_GB2312" w:hAnsi="楷体_GB2312" w:eastAsia="楷体_GB2312" w:cs="楷体_GB2312"/>
          <w:b/>
          <w:bCs/>
          <w:color w:val="000000"/>
          <w:kern w:val="0"/>
          <w:sz w:val="30"/>
          <w:szCs w:val="30"/>
        </w:rPr>
        <w:t>（二）论文质量管理</w:t>
      </w:r>
    </w:p>
    <w:p w14:paraId="411625FA">
      <w:pPr>
        <w:widowControl/>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1.支持实时查看学生毕业论文评估情况，对论文评估全过程进行管理。</w:t>
      </w:r>
    </w:p>
    <w:p w14:paraId="09BBC3C3">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2.支持查看具体论文质量评估结果。</w:t>
      </w:r>
    </w:p>
    <w:p w14:paraId="0351D574">
      <w:pPr>
        <w:widowControl/>
        <w:spacing w:line="520" w:lineRule="exact"/>
        <w:ind w:firstLine="602"/>
        <w:outlineLvl w:val="1"/>
        <w:rPr>
          <w:rFonts w:hint="eastAsia" w:ascii="楷体_GB2312" w:hAnsi="楷体_GB2312" w:eastAsia="楷体_GB2312" w:cs="楷体_GB2312"/>
          <w:b/>
          <w:bCs/>
          <w:color w:val="000000"/>
          <w:kern w:val="0"/>
          <w:sz w:val="30"/>
          <w:szCs w:val="30"/>
        </w:rPr>
      </w:pPr>
      <w:r>
        <w:rPr>
          <w:rFonts w:hint="eastAsia" w:ascii="楷体_GB2312" w:hAnsi="楷体_GB2312" w:eastAsia="楷体_GB2312" w:cs="楷体_GB2312"/>
          <w:b/>
          <w:bCs/>
          <w:color w:val="000000"/>
          <w:kern w:val="0"/>
          <w:sz w:val="30"/>
          <w:szCs w:val="30"/>
        </w:rPr>
        <w:t>（三）论文质量统计</w:t>
      </w:r>
    </w:p>
    <w:p w14:paraId="75766CCC">
      <w:pPr>
        <w:widowControl/>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 xml:space="preserve">1.支持按照学校/学院/学科/专业/班级等多维度多视角查看论文质量评估分析。   </w:t>
      </w:r>
    </w:p>
    <w:p w14:paraId="5B38CE03">
      <w:pPr>
        <w:widowControl/>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2.可以根据论文质量评价结果显示分类统计数量，可根据论文评测次数，展示二级学院论文评测数量排名。</w:t>
      </w:r>
    </w:p>
    <w:p w14:paraId="2D443C42">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3.可以显示各学院不合格论文数量统计。</w:t>
      </w:r>
    </w:p>
    <w:p w14:paraId="2DC86A6C">
      <w:pPr>
        <w:widowControl/>
        <w:spacing w:line="520" w:lineRule="exact"/>
        <w:ind w:firstLine="600"/>
        <w:outlineLvl w:val="0"/>
        <w:rPr>
          <w:rFonts w:hint="eastAsia" w:ascii="黑体" w:hAnsi="黑体" w:eastAsia="黑体" w:cs="黑体"/>
          <w:color w:val="000000"/>
          <w:kern w:val="0"/>
          <w:sz w:val="30"/>
          <w:szCs w:val="30"/>
        </w:rPr>
      </w:pPr>
      <w:r>
        <w:rPr>
          <w:rFonts w:hint="eastAsia" w:ascii="黑体" w:hAnsi="黑体" w:eastAsia="黑体" w:cs="黑体"/>
          <w:color w:val="000000"/>
          <w:kern w:val="0"/>
          <w:sz w:val="30"/>
          <w:szCs w:val="30"/>
        </w:rPr>
        <w:t>四、学生端功能说明</w:t>
      </w:r>
    </w:p>
    <w:p w14:paraId="7CA77EC8">
      <w:pPr>
        <w:widowControl/>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（一）支持学生</w:t>
      </w:r>
      <w:r>
        <w:rPr>
          <w:rFonts w:hint="eastAsia" w:ascii="仿宋" w:hAnsi="仿宋" w:eastAsia="仿宋" w:cs="仿宋"/>
          <w:b/>
          <w:bCs/>
          <w:color w:val="000000"/>
          <w:kern w:val="0"/>
          <w:sz w:val="30"/>
          <w:szCs w:val="30"/>
        </w:rPr>
        <w:t>自行上传论文</w:t>
      </w:r>
      <w:r>
        <w:rPr>
          <w:rFonts w:hint="eastAsia" w:ascii="仿宋" w:hAnsi="仿宋" w:eastAsia="仿宋" w:cs="仿宋"/>
          <w:color w:val="000000"/>
          <w:kern w:val="0"/>
          <w:sz w:val="30"/>
          <w:szCs w:val="30"/>
        </w:rPr>
        <w:t>，可设置学生论文可评价的次数。</w:t>
      </w:r>
    </w:p>
    <w:p w14:paraId="40B7BEC9">
      <w:pPr>
        <w:widowControl/>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（二）支持学生在论文质量评估报告（免费1次）基础上，自主选择是否生成全文批注报告（学生根据需求自行付费使用）。</w:t>
      </w:r>
    </w:p>
    <w:p w14:paraId="641EEFDF">
      <w:pPr>
        <w:widowControl/>
        <w:spacing w:line="520" w:lineRule="exact"/>
        <w:ind w:firstLine="600"/>
        <w:outlineLvl w:val="0"/>
        <w:rPr>
          <w:rFonts w:hint="eastAsia" w:ascii="黑体" w:hAnsi="黑体" w:eastAsia="黑体" w:cs="黑体"/>
          <w:color w:val="000000"/>
          <w:kern w:val="0"/>
          <w:sz w:val="30"/>
          <w:szCs w:val="30"/>
        </w:rPr>
      </w:pPr>
      <w:r>
        <w:rPr>
          <w:rFonts w:hint="eastAsia" w:ascii="黑体" w:hAnsi="黑体" w:eastAsia="黑体" w:cs="黑体"/>
          <w:color w:val="000000"/>
          <w:kern w:val="0"/>
          <w:sz w:val="30"/>
          <w:szCs w:val="30"/>
        </w:rPr>
        <w:t>五、教师端功能说明</w:t>
      </w:r>
    </w:p>
    <w:p w14:paraId="11E52976">
      <w:pPr>
        <w:widowControl/>
        <w:spacing w:line="520" w:lineRule="exact"/>
        <w:ind w:firstLine="600"/>
        <w:outlineLvl w:val="1"/>
        <w:rPr>
          <w:rFonts w:hint="eastAsia" w:ascii="仿宋" w:hAnsi="仿宋" w:eastAsia="仿宋" w:cs="仿宋"/>
          <w:color w:val="000000"/>
          <w:kern w:val="0"/>
          <w:sz w:val="30"/>
          <w:szCs w:val="30"/>
        </w:rPr>
      </w:pPr>
      <w:r>
        <w:rPr>
          <w:rFonts w:hint="eastAsia" w:ascii="楷体_GB2312" w:hAnsi="楷体_GB2312" w:eastAsia="楷体_GB2312" w:cs="楷体_GB2312"/>
          <w:color w:val="000000"/>
          <w:kern w:val="0"/>
          <w:sz w:val="30"/>
          <w:szCs w:val="30"/>
        </w:rPr>
        <w:t>（一）</w:t>
      </w:r>
      <w:r>
        <w:rPr>
          <w:rFonts w:hint="eastAsia" w:ascii="楷体_GB2312" w:hAnsi="楷体_GB2312" w:eastAsia="楷体_GB2312" w:cs="楷体_GB2312"/>
          <w:b/>
          <w:bCs/>
          <w:color w:val="000000"/>
          <w:kern w:val="0"/>
          <w:sz w:val="30"/>
          <w:szCs w:val="30"/>
        </w:rPr>
        <w:t>论文上传</w:t>
      </w:r>
    </w:p>
    <w:p w14:paraId="1F74597A">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1.支持</w:t>
      </w:r>
      <w:r>
        <w:rPr>
          <w:rFonts w:hint="eastAsia" w:ascii="仿宋" w:hAnsi="仿宋" w:eastAsia="仿宋" w:cs="仿宋"/>
          <w:b/>
          <w:bCs/>
          <w:sz w:val="30"/>
          <w:szCs w:val="30"/>
        </w:rPr>
        <w:t>教师端批量论文上传</w:t>
      </w:r>
      <w:r>
        <w:rPr>
          <w:rFonts w:hint="eastAsia" w:ascii="仿宋" w:hAnsi="仿宋" w:eastAsia="仿宋" w:cs="仿宋"/>
          <w:sz w:val="30"/>
          <w:szCs w:val="30"/>
        </w:rPr>
        <w:t>评估。</w:t>
      </w:r>
    </w:p>
    <w:p w14:paraId="1204A283">
      <w:pPr>
        <w:widowControl/>
        <w:spacing w:line="520" w:lineRule="exact"/>
        <w:ind w:firstLine="600"/>
        <w:rPr>
          <w:rFonts w:hint="eastAsia" w:ascii="楷体_GB2312" w:hAnsi="楷体_GB2312" w:eastAsia="楷体_GB2312" w:cs="楷体_GB2312"/>
          <w:b/>
          <w:bCs/>
          <w:color w:val="000000"/>
          <w:kern w:val="0"/>
          <w:sz w:val="30"/>
          <w:szCs w:val="30"/>
        </w:rPr>
      </w:pPr>
      <w:r>
        <w:rPr>
          <w:rFonts w:hint="eastAsia" w:ascii="仿宋" w:hAnsi="仿宋" w:eastAsia="仿宋" w:cs="仿宋"/>
          <w:color w:val="000000"/>
          <w:kern w:val="0"/>
          <w:sz w:val="30"/>
          <w:szCs w:val="30"/>
        </w:rPr>
        <w:t>2.支持教师在论文质量评估报告的基础上，对评估结果进行个性化修改。</w:t>
      </w:r>
    </w:p>
    <w:p w14:paraId="56DB3163">
      <w:pPr>
        <w:widowControl/>
        <w:spacing w:line="520" w:lineRule="exact"/>
        <w:ind w:firstLine="602"/>
        <w:outlineLvl w:val="1"/>
        <w:rPr>
          <w:rFonts w:hint="eastAsia" w:ascii="楷体_GB2312" w:hAnsi="楷体_GB2312" w:eastAsia="楷体_GB2312" w:cs="楷体_GB2312"/>
          <w:b/>
          <w:bCs/>
          <w:color w:val="000000"/>
          <w:kern w:val="0"/>
          <w:sz w:val="30"/>
          <w:szCs w:val="30"/>
        </w:rPr>
      </w:pPr>
    </w:p>
    <w:p w14:paraId="32028CD7">
      <w:pPr>
        <w:widowControl/>
        <w:spacing w:line="520" w:lineRule="exact"/>
        <w:ind w:firstLine="602"/>
        <w:outlineLvl w:val="1"/>
        <w:rPr>
          <w:rFonts w:hint="eastAsia" w:ascii="楷体_GB2312" w:hAnsi="楷体_GB2312" w:eastAsia="楷体_GB2312" w:cs="楷体_GB2312"/>
          <w:b/>
          <w:bCs/>
          <w:color w:val="000000"/>
          <w:kern w:val="0"/>
          <w:sz w:val="30"/>
          <w:szCs w:val="30"/>
        </w:rPr>
      </w:pPr>
      <w:r>
        <w:rPr>
          <w:rFonts w:hint="eastAsia" w:ascii="楷体_GB2312" w:hAnsi="楷体_GB2312" w:eastAsia="楷体_GB2312" w:cs="楷体_GB2312"/>
          <w:b/>
          <w:bCs/>
          <w:color w:val="000000"/>
          <w:kern w:val="0"/>
          <w:sz w:val="30"/>
          <w:szCs w:val="30"/>
        </w:rPr>
        <w:t>（二）论文管理</w:t>
      </w:r>
    </w:p>
    <w:p w14:paraId="26E1E0D5">
      <w:pPr>
        <w:widowControl/>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1.支持通过评估时间/评估结果/学生姓名等条件，检索管理所负责学生的论文。</w:t>
      </w:r>
    </w:p>
    <w:p w14:paraId="427B2538">
      <w:pPr>
        <w:widowControl/>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2.支持将学生论文评估情况导出为表格文件方便后续处理。</w:t>
      </w:r>
    </w:p>
    <w:p w14:paraId="094FA705">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3.支持导出单个论文的论文质量评估报告。</w:t>
      </w:r>
    </w:p>
    <w:p w14:paraId="4FC71DD8">
      <w:pPr>
        <w:widowControl/>
        <w:spacing w:line="520" w:lineRule="exact"/>
        <w:ind w:firstLine="600"/>
        <w:outlineLvl w:val="0"/>
        <w:rPr>
          <w:rFonts w:hint="eastAsia" w:ascii="黑体" w:hAnsi="黑体" w:eastAsia="黑体" w:cs="黑体"/>
          <w:color w:val="000000"/>
          <w:kern w:val="0"/>
          <w:sz w:val="30"/>
          <w:szCs w:val="30"/>
        </w:rPr>
      </w:pPr>
      <w:r>
        <w:rPr>
          <w:rFonts w:hint="eastAsia" w:ascii="黑体" w:hAnsi="黑体" w:eastAsia="黑体" w:cs="黑体"/>
          <w:color w:val="000000"/>
          <w:kern w:val="0"/>
          <w:sz w:val="30"/>
          <w:szCs w:val="30"/>
        </w:rPr>
        <w:t>六、论文质量评估系统解读</w:t>
      </w:r>
    </w:p>
    <w:p w14:paraId="24D0B5B2">
      <w:pPr>
        <w:widowControl/>
        <w:spacing w:line="520" w:lineRule="exact"/>
        <w:ind w:firstLine="602"/>
        <w:outlineLvl w:val="1"/>
        <w:rPr>
          <w:rFonts w:hint="eastAsia" w:ascii="楷体_GB2312" w:hAnsi="楷体_GB2312" w:eastAsia="楷体_GB2312" w:cs="楷体_GB2312"/>
          <w:b/>
          <w:bCs/>
          <w:color w:val="000000"/>
          <w:kern w:val="0"/>
          <w:sz w:val="30"/>
          <w:szCs w:val="30"/>
        </w:rPr>
      </w:pPr>
      <w:r>
        <w:rPr>
          <w:rFonts w:hint="eastAsia" w:ascii="楷体_GB2312" w:hAnsi="楷体_GB2312" w:eastAsia="楷体_GB2312" w:cs="楷体_GB2312"/>
          <w:b/>
          <w:bCs/>
          <w:color w:val="000000"/>
          <w:kern w:val="0"/>
          <w:sz w:val="30"/>
          <w:szCs w:val="30"/>
        </w:rPr>
        <w:t>（一）评估依据</w:t>
      </w:r>
    </w:p>
    <w:p w14:paraId="75D7396A">
      <w:pPr>
        <w:spacing w:line="520" w:lineRule="exact"/>
        <w:ind w:firstLine="600"/>
        <w:rPr>
          <w:rFonts w:hint="eastAsia" w:ascii="仿宋" w:hAnsi="仿宋" w:eastAsia="仿宋" w:cs="仿宋"/>
          <w:sz w:val="30"/>
          <w:szCs w:val="30"/>
        </w:rPr>
      </w:pPr>
      <w:r>
        <w:rPr>
          <w:rFonts w:hint="eastAsia" w:ascii="仿宋" w:hAnsi="仿宋" w:eastAsia="仿宋" w:cs="仿宋"/>
          <w:sz w:val="30"/>
          <w:szCs w:val="30"/>
        </w:rPr>
        <w:t>1.严格参照《普通高等学校本科专业类教学质量国家标准》。</w:t>
      </w:r>
    </w:p>
    <w:p w14:paraId="5CC289D9">
      <w:pPr>
        <w:widowControl/>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2.根据不同专业的要求，支持全部本科毕业论文、专业型硕士毕业论文、学术型硕士毕业论文的质量评估，做到准确、客观、符合要求。</w:t>
      </w:r>
    </w:p>
    <w:p w14:paraId="2E2F2ADE">
      <w:pPr>
        <w:widowControl/>
        <w:spacing w:line="520" w:lineRule="exact"/>
        <w:ind w:firstLine="602"/>
        <w:outlineLvl w:val="1"/>
        <w:rPr>
          <w:rFonts w:hint="eastAsia" w:ascii="楷体_GB2312" w:hAnsi="楷体_GB2312" w:eastAsia="楷体_GB2312" w:cs="楷体_GB2312"/>
          <w:b/>
          <w:bCs/>
          <w:color w:val="000000"/>
          <w:kern w:val="0"/>
          <w:sz w:val="30"/>
          <w:szCs w:val="30"/>
        </w:rPr>
      </w:pPr>
      <w:r>
        <w:rPr>
          <w:rFonts w:hint="eastAsia" w:ascii="楷体_GB2312" w:hAnsi="楷体_GB2312" w:eastAsia="楷体_GB2312" w:cs="楷体_GB2312"/>
          <w:b/>
          <w:bCs/>
          <w:color w:val="000000"/>
          <w:kern w:val="0"/>
          <w:sz w:val="30"/>
          <w:szCs w:val="30"/>
        </w:rPr>
        <w:t>（二）评估维度</w:t>
      </w:r>
    </w:p>
    <w:p w14:paraId="628C42BD">
      <w:pPr>
        <w:spacing w:line="520" w:lineRule="exact"/>
        <w:ind w:firstLine="602"/>
        <w:rPr>
          <w:rFonts w:hint="eastAsia" w:ascii="仿宋" w:hAnsi="仿宋" w:eastAsia="仿宋" w:cs="仿宋"/>
          <w:color w:val="000000"/>
          <w:kern w:val="0"/>
          <w:sz w:val="30"/>
          <w:szCs w:val="30"/>
        </w:rPr>
      </w:pPr>
      <w:r>
        <w:rPr>
          <w:rFonts w:hint="eastAsia" w:ascii="楷体_GB2312" w:hAnsi="楷体_GB2312" w:eastAsia="楷体_GB2312" w:cs="楷体_GB2312"/>
          <w:b/>
          <w:bCs/>
          <w:sz w:val="30"/>
          <w:szCs w:val="30"/>
        </w:rPr>
        <w:t>1.论文总评：</w:t>
      </w:r>
      <w:r>
        <w:rPr>
          <w:rFonts w:hint="eastAsia" w:ascii="仿宋" w:hAnsi="仿宋" w:eastAsia="仿宋" w:cs="仿宋"/>
          <w:color w:val="000000"/>
          <w:kern w:val="0"/>
          <w:sz w:val="30"/>
          <w:szCs w:val="30"/>
        </w:rPr>
        <w:t>提供综合评分和合格率预估（综合评分是论文整体质量评价，0-5分为评分区间，预估合格率为根据国家标准预估该论文抽检合格概率，理论上要达</w:t>
      </w:r>
      <w:r>
        <w:rPr>
          <w:rFonts w:hint="eastAsia" w:ascii="仿宋" w:hAnsi="仿宋" w:eastAsia="仿宋" w:cs="仿宋"/>
          <w:b/>
          <w:bCs/>
          <w:color w:val="000000"/>
          <w:kern w:val="0"/>
          <w:sz w:val="30"/>
          <w:szCs w:val="30"/>
        </w:rPr>
        <w:t>75%以上</w:t>
      </w:r>
      <w:r>
        <w:rPr>
          <w:rFonts w:hint="eastAsia" w:ascii="仿宋" w:hAnsi="仿宋" w:eastAsia="仿宋" w:cs="仿宋"/>
          <w:color w:val="000000"/>
          <w:kern w:val="0"/>
          <w:sz w:val="30"/>
          <w:szCs w:val="30"/>
        </w:rPr>
        <w:t>才能确保抽检合格）。总评应提供论文优缺点总述、得分理由。</w:t>
      </w:r>
    </w:p>
    <w:p w14:paraId="39E9406D">
      <w:pPr>
        <w:spacing w:line="520" w:lineRule="exact"/>
        <w:ind w:firstLine="602"/>
        <w:rPr>
          <w:rFonts w:hint="eastAsia" w:ascii="仿宋" w:hAnsi="仿宋" w:eastAsia="仿宋" w:cs="仿宋"/>
          <w:color w:val="000000"/>
          <w:kern w:val="0"/>
          <w:sz w:val="30"/>
          <w:szCs w:val="30"/>
        </w:rPr>
      </w:pPr>
      <w:r>
        <w:rPr>
          <w:rFonts w:hint="eastAsia" w:ascii="楷体_GB2312" w:hAnsi="楷体_GB2312" w:eastAsia="楷体_GB2312" w:cs="楷体_GB2312"/>
          <w:b/>
          <w:bCs/>
          <w:sz w:val="30"/>
          <w:szCs w:val="30"/>
        </w:rPr>
        <w:t>2.字词用法识别：</w:t>
      </w:r>
      <w:r>
        <w:rPr>
          <w:rFonts w:hint="eastAsia" w:ascii="仿宋" w:hAnsi="仿宋" w:eastAsia="仿宋" w:cs="仿宋"/>
          <w:color w:val="000000"/>
          <w:kern w:val="0"/>
          <w:sz w:val="30"/>
          <w:szCs w:val="30"/>
        </w:rPr>
        <w:t>全文检测识别毕业论文的字词用法。</w:t>
      </w:r>
    </w:p>
    <w:p w14:paraId="4459616D">
      <w:pPr>
        <w:spacing w:line="520" w:lineRule="exact"/>
        <w:ind w:firstLine="602"/>
        <w:rPr>
          <w:rFonts w:hint="eastAsia" w:ascii="仿宋" w:hAnsi="仿宋" w:eastAsia="仿宋" w:cs="仿宋"/>
          <w:color w:val="000000"/>
          <w:kern w:val="0"/>
          <w:sz w:val="30"/>
          <w:szCs w:val="30"/>
        </w:rPr>
      </w:pPr>
      <w:r>
        <w:rPr>
          <w:rFonts w:hint="eastAsia" w:ascii="楷体_GB2312" w:hAnsi="楷体_GB2312" w:eastAsia="楷体_GB2312" w:cs="楷体_GB2312"/>
          <w:b/>
          <w:bCs/>
          <w:sz w:val="30"/>
          <w:szCs w:val="30"/>
        </w:rPr>
        <w:t>3.摘要判断：</w:t>
      </w:r>
      <w:r>
        <w:rPr>
          <w:rFonts w:hint="eastAsia" w:ascii="仿宋" w:hAnsi="仿宋" w:eastAsia="仿宋" w:cs="仿宋"/>
          <w:color w:val="000000"/>
          <w:kern w:val="0"/>
          <w:sz w:val="30"/>
          <w:szCs w:val="30"/>
        </w:rPr>
        <w:t>中文摘要：能够检测出摘要准确性、字符数、关键词准确性的维度的质量，给出质量评价、评分。</w:t>
      </w:r>
    </w:p>
    <w:p w14:paraId="33FB658B">
      <w:pPr>
        <w:widowControl/>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英文摘要：能够检测出摘要的表达准确性、用词准确性、内容完整性、表现手法、文字质量等维度的质量，给出质量评价、评分。</w:t>
      </w:r>
    </w:p>
    <w:p w14:paraId="4E736242">
      <w:pPr>
        <w:spacing w:line="520" w:lineRule="exact"/>
        <w:ind w:firstLine="602"/>
        <w:rPr>
          <w:rFonts w:hint="eastAsia" w:ascii="仿宋" w:hAnsi="仿宋" w:eastAsia="仿宋" w:cs="仿宋"/>
          <w:color w:val="000000"/>
          <w:kern w:val="0"/>
          <w:sz w:val="30"/>
          <w:szCs w:val="30"/>
        </w:rPr>
      </w:pPr>
      <w:r>
        <w:rPr>
          <w:rFonts w:hint="eastAsia" w:ascii="楷体_GB2312" w:hAnsi="楷体_GB2312" w:eastAsia="楷体_GB2312" w:cs="楷体_GB2312"/>
          <w:b/>
          <w:bCs/>
          <w:sz w:val="30"/>
          <w:szCs w:val="30"/>
        </w:rPr>
        <w:t>4.选题意义：</w:t>
      </w:r>
      <w:r>
        <w:rPr>
          <w:rFonts w:hint="eastAsia" w:ascii="仿宋" w:hAnsi="仿宋" w:eastAsia="仿宋" w:cs="仿宋"/>
          <w:color w:val="000000"/>
          <w:kern w:val="0"/>
          <w:sz w:val="30"/>
          <w:szCs w:val="30"/>
        </w:rPr>
        <w:t>从与本专业培养目标和毕业要求的契合程度、理论意义或实践应用价值、创新意识和难易程度三个方面，给出质量评价、评分。</w:t>
      </w:r>
    </w:p>
    <w:p w14:paraId="3B8D52DF">
      <w:pPr>
        <w:spacing w:line="520" w:lineRule="exact"/>
        <w:ind w:firstLine="602"/>
        <w:rPr>
          <w:rFonts w:hint="eastAsia" w:ascii="仿宋" w:hAnsi="仿宋" w:eastAsia="仿宋" w:cs="仿宋"/>
          <w:color w:val="000000"/>
          <w:kern w:val="0"/>
          <w:sz w:val="30"/>
          <w:szCs w:val="30"/>
        </w:rPr>
      </w:pPr>
      <w:r>
        <w:rPr>
          <w:rFonts w:hint="eastAsia" w:ascii="楷体_GB2312" w:hAnsi="楷体_GB2312" w:eastAsia="楷体_GB2312" w:cs="楷体_GB2312"/>
          <w:b/>
          <w:bCs/>
          <w:sz w:val="30"/>
          <w:szCs w:val="30"/>
        </w:rPr>
        <w:t>5.逻辑构建：</w:t>
      </w:r>
      <w:r>
        <w:rPr>
          <w:rFonts w:hint="eastAsia" w:ascii="仿宋" w:hAnsi="仿宋" w:eastAsia="仿宋" w:cs="仿宋"/>
          <w:color w:val="000000"/>
          <w:kern w:val="0"/>
          <w:sz w:val="30"/>
          <w:szCs w:val="30"/>
        </w:rPr>
        <w:t>从结构体系、内容组织、文字表达三个方面，给出质量评价、评分。</w:t>
      </w:r>
    </w:p>
    <w:p w14:paraId="37B10722">
      <w:pPr>
        <w:spacing w:line="520" w:lineRule="exact"/>
        <w:ind w:firstLine="602"/>
        <w:rPr>
          <w:rFonts w:hint="eastAsia" w:ascii="仿宋" w:hAnsi="仿宋" w:eastAsia="仿宋" w:cs="仿宋"/>
          <w:color w:val="000000"/>
          <w:kern w:val="0"/>
          <w:sz w:val="30"/>
          <w:szCs w:val="30"/>
        </w:rPr>
      </w:pPr>
      <w:r>
        <w:rPr>
          <w:rFonts w:hint="eastAsia" w:ascii="楷体_GB2312" w:hAnsi="楷体_GB2312" w:eastAsia="楷体_GB2312" w:cs="楷体_GB2312"/>
          <w:b/>
          <w:bCs/>
          <w:sz w:val="30"/>
          <w:szCs w:val="30"/>
        </w:rPr>
        <w:t>6.专业能力：</w:t>
      </w:r>
      <w:r>
        <w:rPr>
          <w:rFonts w:hint="eastAsia" w:ascii="仿宋" w:hAnsi="仿宋" w:eastAsia="仿宋" w:cs="仿宋"/>
          <w:color w:val="000000"/>
          <w:kern w:val="0"/>
          <w:sz w:val="30"/>
          <w:szCs w:val="30"/>
        </w:rPr>
        <w:t>从文献检索及梳理能力、对本专业及相关领域研究现状的了解与评析、对基础理论和专门知识的掌握与运用、分析和解决问题的能力四方面，给出质量评价、评分。</w:t>
      </w:r>
    </w:p>
    <w:p w14:paraId="1D6B8031">
      <w:pPr>
        <w:spacing w:line="520" w:lineRule="exact"/>
        <w:ind w:firstLine="602"/>
        <w:rPr>
          <w:rFonts w:hint="eastAsia" w:ascii="仿宋" w:hAnsi="仿宋" w:eastAsia="仿宋" w:cs="仿宋"/>
          <w:color w:val="000000"/>
          <w:kern w:val="0"/>
          <w:sz w:val="30"/>
          <w:szCs w:val="30"/>
        </w:rPr>
      </w:pPr>
      <w:r>
        <w:rPr>
          <w:rFonts w:hint="eastAsia" w:ascii="楷体_GB2312" w:hAnsi="楷体_GB2312" w:eastAsia="楷体_GB2312" w:cs="楷体_GB2312"/>
          <w:b/>
          <w:bCs/>
          <w:sz w:val="30"/>
          <w:szCs w:val="30"/>
        </w:rPr>
        <w:t>7.学术规范：</w:t>
      </w:r>
      <w:r>
        <w:rPr>
          <w:rFonts w:hint="eastAsia" w:ascii="仿宋" w:hAnsi="仿宋" w:eastAsia="仿宋" w:cs="仿宋"/>
          <w:color w:val="000000"/>
          <w:kern w:val="0"/>
          <w:sz w:val="30"/>
          <w:szCs w:val="30"/>
        </w:rPr>
        <w:t>从价值取向、学术诚信、写作规范三个方面，给出质量评价、评分。</w:t>
      </w:r>
    </w:p>
    <w:p w14:paraId="40218D4D">
      <w:pPr>
        <w:spacing w:line="520" w:lineRule="exact"/>
        <w:ind w:firstLine="602"/>
        <w:rPr>
          <w:rFonts w:hint="eastAsia" w:ascii="仿宋" w:hAnsi="仿宋" w:eastAsia="仿宋" w:cs="仿宋"/>
          <w:color w:val="000000"/>
          <w:kern w:val="0"/>
          <w:sz w:val="30"/>
          <w:szCs w:val="30"/>
        </w:rPr>
      </w:pPr>
      <w:r>
        <w:rPr>
          <w:rFonts w:hint="eastAsia" w:ascii="楷体_GB2312" w:hAnsi="楷体_GB2312" w:eastAsia="楷体_GB2312" w:cs="楷体_GB2312"/>
          <w:b/>
          <w:bCs/>
          <w:sz w:val="30"/>
          <w:szCs w:val="30"/>
        </w:rPr>
        <w:t>8.文献综述：</w:t>
      </w:r>
      <w:r>
        <w:rPr>
          <w:rFonts w:hint="eastAsia" w:ascii="仿宋" w:hAnsi="仿宋" w:eastAsia="仿宋" w:cs="仿宋"/>
          <w:color w:val="000000"/>
          <w:kern w:val="0"/>
          <w:sz w:val="30"/>
          <w:szCs w:val="30"/>
        </w:rPr>
        <w:t>能够自动检索论文所引用的文献，罗列文献名称，分析文献摘要，判断文献观点与论文内容的吻合程度，并给出理由及得分。</w:t>
      </w:r>
    </w:p>
    <w:p w14:paraId="623690F9">
      <w:pPr>
        <w:pStyle w:val="3"/>
        <w:spacing w:before="0" w:after="0" w:line="520" w:lineRule="exact"/>
        <w:ind w:firstLine="602"/>
        <w:rPr>
          <w:rFonts w:hint="eastAsia" w:ascii="楷体_GB2312" w:hAnsi="楷体_GB2312" w:eastAsia="楷体_GB2312" w:cs="楷体_GB2312"/>
          <w:color w:val="000000"/>
          <w:kern w:val="0"/>
          <w:sz w:val="30"/>
          <w:szCs w:val="30"/>
        </w:rPr>
      </w:pPr>
      <w:r>
        <w:rPr>
          <w:rFonts w:hint="eastAsia" w:ascii="楷体_GB2312" w:hAnsi="楷体_GB2312" w:eastAsia="楷体_GB2312" w:cs="楷体_GB2312"/>
          <w:color w:val="000000"/>
          <w:kern w:val="0"/>
          <w:sz w:val="30"/>
          <w:szCs w:val="30"/>
        </w:rPr>
        <w:t>（三）质量评估报告（免费1次）</w:t>
      </w:r>
    </w:p>
    <w:p w14:paraId="62647DAB">
      <w:pPr>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质量评估报告面向教师和学生用户，用户可整体把控论文的质量。报告以总-分结构排布。先总体总结报告的得分、通过率、优点、缺点分析，之后按照错字识别、摘要判断、选题意义、逻辑构建、专业能力、学术规范、文献综述七大方向，详细拆解每个维度的一级指标、二级指标，以及每个指标的得分点，指标得分值，清晰掌握每个指标的评分组成和结构。</w:t>
      </w:r>
    </w:p>
    <w:p w14:paraId="4435E176">
      <w:pPr>
        <w:spacing w:line="520" w:lineRule="exact"/>
        <w:ind w:firstLine="600"/>
        <w:rPr>
          <w:rFonts w:hint="eastAsia" w:ascii="黑体" w:hAnsi="黑体" w:eastAsia="黑体" w:cs="黑体"/>
          <w:color w:val="000000"/>
          <w:kern w:val="0"/>
          <w:sz w:val="30"/>
          <w:szCs w:val="30"/>
        </w:rPr>
      </w:pPr>
      <w:r>
        <w:rPr>
          <w:rFonts w:hint="eastAsia" w:ascii="黑体" w:hAnsi="黑体" w:eastAsia="黑体" w:cs="黑体"/>
          <w:color w:val="000000"/>
          <w:kern w:val="0"/>
          <w:sz w:val="30"/>
          <w:szCs w:val="30"/>
        </w:rPr>
        <w:t>七、其他</w:t>
      </w:r>
    </w:p>
    <w:p w14:paraId="36592685">
      <w:pPr>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师生在</w:t>
      </w:r>
      <w:r>
        <w:rPr>
          <w:rFonts w:hint="eastAsia" w:ascii="仿宋" w:hAnsi="仿宋" w:eastAsia="仿宋" w:cs="仿宋"/>
          <w:color w:val="000000"/>
          <w:kern w:val="0"/>
          <w:sz w:val="30"/>
          <w:szCs w:val="30"/>
          <w:lang w:val="en-US" w:eastAsia="zh-CN"/>
        </w:rPr>
        <w:t>使</w:t>
      </w:r>
      <w:r>
        <w:rPr>
          <w:rFonts w:hint="eastAsia" w:ascii="仿宋" w:hAnsi="仿宋" w:eastAsia="仿宋" w:cs="仿宋"/>
          <w:color w:val="000000"/>
          <w:kern w:val="0"/>
          <w:sz w:val="30"/>
          <w:szCs w:val="30"/>
        </w:rPr>
        <w:t>用过程中若遇到的问题或有改进建议等，</w:t>
      </w:r>
      <w:r>
        <w:rPr>
          <w:rFonts w:hint="eastAsia" w:ascii="仿宋" w:hAnsi="仿宋" w:eastAsia="仿宋" w:cs="仿宋"/>
          <w:color w:val="000000"/>
          <w:kern w:val="0"/>
          <w:sz w:val="30"/>
          <w:szCs w:val="30"/>
          <w:lang w:val="en-US" w:eastAsia="zh-CN"/>
        </w:rPr>
        <w:t>随时联系客服人员</w:t>
      </w:r>
      <w:r>
        <w:rPr>
          <w:rFonts w:hint="eastAsia" w:ascii="仿宋" w:hAnsi="仿宋" w:eastAsia="仿宋" w:cs="仿宋"/>
          <w:color w:val="000000"/>
          <w:kern w:val="0"/>
          <w:sz w:val="30"/>
          <w:szCs w:val="30"/>
        </w:rPr>
        <w:t>。</w:t>
      </w:r>
    </w:p>
    <w:p w14:paraId="50B70320">
      <w:pPr>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杨先生</w:t>
      </w:r>
      <w:r>
        <w:rPr>
          <w:rFonts w:hint="eastAsia" w:ascii="仿宋" w:hAnsi="仿宋" w:eastAsia="仿宋" w:cs="仿宋"/>
          <w:color w:val="000000"/>
          <w:kern w:val="0"/>
          <w:sz w:val="30"/>
          <w:szCs w:val="30"/>
          <w:lang w:val="en-US" w:eastAsia="zh-CN"/>
        </w:rPr>
        <w:t>：</w:t>
      </w:r>
      <w:r>
        <w:rPr>
          <w:rFonts w:hint="eastAsia" w:ascii="仿宋" w:hAnsi="仿宋" w:eastAsia="仿宋" w:cs="仿宋"/>
          <w:color w:val="000000"/>
          <w:kern w:val="0"/>
          <w:sz w:val="30"/>
          <w:szCs w:val="30"/>
        </w:rPr>
        <w:t>18052026800</w:t>
      </w:r>
    </w:p>
    <w:p w14:paraId="2C03106B">
      <w:pPr>
        <w:spacing w:line="520" w:lineRule="exact"/>
        <w:ind w:firstLine="600"/>
        <w:rPr>
          <w:rFonts w:hint="eastAsia" w:ascii="仿宋" w:hAnsi="仿宋" w:eastAsia="仿宋" w:cs="仿宋"/>
          <w:color w:val="000000"/>
          <w:kern w:val="0"/>
          <w:sz w:val="30"/>
          <w:szCs w:val="30"/>
          <w:lang w:val="en-US" w:eastAsia="zh-CN"/>
        </w:rPr>
      </w:pPr>
      <w:r>
        <w:rPr>
          <w:rFonts w:hint="eastAsia" w:ascii="仿宋" w:hAnsi="仿宋" w:eastAsia="仿宋" w:cs="仿宋"/>
          <w:color w:val="000000"/>
          <w:kern w:val="0"/>
          <w:sz w:val="30"/>
          <w:szCs w:val="30"/>
          <w:lang w:val="en-US" w:eastAsia="zh-CN"/>
        </w:rPr>
        <w:t>许</w:t>
      </w:r>
      <w:r>
        <w:rPr>
          <w:rFonts w:hint="eastAsia" w:ascii="仿宋" w:hAnsi="仿宋" w:eastAsia="仿宋" w:cs="仿宋"/>
          <w:color w:val="000000"/>
          <w:kern w:val="0"/>
          <w:sz w:val="30"/>
          <w:szCs w:val="30"/>
        </w:rPr>
        <w:t>女士</w:t>
      </w:r>
      <w:r>
        <w:rPr>
          <w:rFonts w:hint="eastAsia" w:ascii="仿宋" w:hAnsi="仿宋" w:eastAsia="仿宋" w:cs="仿宋"/>
          <w:color w:val="000000"/>
          <w:kern w:val="0"/>
          <w:sz w:val="30"/>
          <w:szCs w:val="30"/>
          <w:lang w:val="en-US" w:eastAsia="zh-CN"/>
        </w:rPr>
        <w:t>：</w:t>
      </w:r>
      <w:r>
        <w:rPr>
          <w:rFonts w:hint="eastAsia" w:ascii="仿宋" w:hAnsi="仿宋" w:eastAsia="仿宋" w:cs="仿宋"/>
          <w:color w:val="000000"/>
          <w:kern w:val="0"/>
          <w:sz w:val="30"/>
          <w:szCs w:val="30"/>
        </w:rPr>
        <w:t>1</w:t>
      </w:r>
      <w:r>
        <w:rPr>
          <w:rFonts w:hint="eastAsia" w:ascii="仿宋" w:hAnsi="仿宋" w:eastAsia="仿宋" w:cs="仿宋"/>
          <w:color w:val="000000"/>
          <w:kern w:val="0"/>
          <w:sz w:val="30"/>
          <w:szCs w:val="30"/>
          <w:lang w:val="en-US" w:eastAsia="zh-CN"/>
        </w:rPr>
        <w:t xml:space="preserve">3913042587       </w:t>
      </w:r>
    </w:p>
    <w:p w14:paraId="044AC18B">
      <w:pPr>
        <w:spacing w:line="520" w:lineRule="exact"/>
        <w:ind w:firstLine="6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许先生 13851868933</w:t>
      </w:r>
      <w:r>
        <w:rPr>
          <w:rFonts w:hint="eastAsia" w:ascii="仿宋" w:hAnsi="仿宋" w:eastAsia="仿宋" w:cs="仿宋"/>
          <w:color w:val="000000"/>
          <w:kern w:val="0"/>
          <w:sz w:val="30"/>
          <w:szCs w:val="30"/>
          <w:lang w:val="en-US" w:eastAsia="zh-CN"/>
        </w:rPr>
        <w:t xml:space="preserve"> </w:t>
      </w:r>
    </w:p>
    <w:p w14:paraId="707BDC4C">
      <w:pPr>
        <w:spacing w:line="520" w:lineRule="exact"/>
        <w:ind w:firstLine="600"/>
        <w:rPr>
          <w:rFonts w:hint="eastAsia" w:ascii="仿宋" w:hAnsi="仿宋" w:eastAsia="仿宋" w:cs="仿宋"/>
          <w:color w:val="000000"/>
          <w:kern w:val="0"/>
          <w:sz w:val="30"/>
          <w:szCs w:val="3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ABC67C-69EE-4347-9B29-D110D96A5E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2" w:fontKey="{554A72C0-9AEE-478B-AD10-FB4E64EF6E4F}"/>
  </w:font>
  <w:font w:name="仿宋">
    <w:panose1 w:val="02010609060101010101"/>
    <w:charset w:val="86"/>
    <w:family w:val="modern"/>
    <w:pitch w:val="default"/>
    <w:sig w:usb0="800002BF" w:usb1="38CF7CFA" w:usb2="00000016" w:usb3="00000000" w:csb0="00040001" w:csb1="00000000"/>
    <w:embedRegular r:id="rId3" w:fontKey="{C3E1ADF5-5456-43ED-B232-993A523F4AE6}"/>
  </w:font>
  <w:font w:name="楷体_GB2312">
    <w:panose1 w:val="02010609030101010101"/>
    <w:charset w:val="86"/>
    <w:family w:val="modern"/>
    <w:pitch w:val="default"/>
    <w:sig w:usb0="00000001" w:usb1="080E0000" w:usb2="00000000" w:usb3="00000000" w:csb0="00040000" w:csb1="00000000"/>
    <w:embedRegular r:id="rId4" w:fontKey="{7FD26A6C-847E-438A-9DE7-E5E3C0D9008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8469C">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1073B">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0E74A">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0408F">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5BD72">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A36EB">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0208F3"/>
    <w:rsid w:val="000D09B5"/>
    <w:rsid w:val="000D6E3F"/>
    <w:rsid w:val="000F641E"/>
    <w:rsid w:val="001A791C"/>
    <w:rsid w:val="00212EC6"/>
    <w:rsid w:val="00296A22"/>
    <w:rsid w:val="002E205F"/>
    <w:rsid w:val="003243B7"/>
    <w:rsid w:val="00327A35"/>
    <w:rsid w:val="003912FB"/>
    <w:rsid w:val="004B0D0D"/>
    <w:rsid w:val="00726421"/>
    <w:rsid w:val="007D6CB9"/>
    <w:rsid w:val="008021A2"/>
    <w:rsid w:val="00A269AC"/>
    <w:rsid w:val="00A326F1"/>
    <w:rsid w:val="00A60985"/>
    <w:rsid w:val="00C10884"/>
    <w:rsid w:val="00C22A8A"/>
    <w:rsid w:val="00C35B94"/>
    <w:rsid w:val="00E735BA"/>
    <w:rsid w:val="00FF790B"/>
    <w:rsid w:val="02D212D8"/>
    <w:rsid w:val="05B64EE1"/>
    <w:rsid w:val="093D48A8"/>
    <w:rsid w:val="146168BD"/>
    <w:rsid w:val="16F6116B"/>
    <w:rsid w:val="1A0208F3"/>
    <w:rsid w:val="1E0345E3"/>
    <w:rsid w:val="201673B4"/>
    <w:rsid w:val="205C6834"/>
    <w:rsid w:val="21BF4CC5"/>
    <w:rsid w:val="2E3A195C"/>
    <w:rsid w:val="2FF45214"/>
    <w:rsid w:val="33835B53"/>
    <w:rsid w:val="433C48F3"/>
    <w:rsid w:val="448654A3"/>
    <w:rsid w:val="48843A5B"/>
    <w:rsid w:val="49276B29"/>
    <w:rsid w:val="4AE83552"/>
    <w:rsid w:val="4D3D691B"/>
    <w:rsid w:val="4DA846DC"/>
    <w:rsid w:val="53466622"/>
    <w:rsid w:val="5D36452A"/>
    <w:rsid w:val="62E3293D"/>
    <w:rsid w:val="63870498"/>
    <w:rsid w:val="68EB47D3"/>
    <w:rsid w:val="690C693B"/>
    <w:rsid w:val="6C1D2785"/>
    <w:rsid w:val="6C246597"/>
    <w:rsid w:val="6EF36A95"/>
    <w:rsid w:val="79896AAB"/>
    <w:rsid w:val="79E03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Calibri" w:hAnsi="Calibri" w:eastAsia="宋体" w:cs="Times New Roman"/>
      <w:kern w:val="2"/>
      <w:sz w:val="24"/>
      <w:szCs w:val="22"/>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0"/>
    <w:pPr>
      <w:keepNext/>
      <w:keepLines/>
      <w:spacing w:before="260" w:after="260" w:line="416" w:lineRule="auto"/>
      <w:outlineLvl w:val="1"/>
    </w:pPr>
    <w:rPr>
      <w:rFonts w:asciiTheme="majorHAnsi" w:hAnsiTheme="majorHAnsi" w:eastAsiaTheme="majorEastAsia" w:cstheme="majorBidi"/>
      <w:b/>
      <w:bCs/>
      <w:szCs w:val="32"/>
    </w:rPr>
  </w:style>
  <w:style w:type="paragraph" w:styleId="4">
    <w:name w:val="heading 3"/>
    <w:basedOn w:val="1"/>
    <w:next w:val="1"/>
    <w:link w:val="12"/>
    <w:unhideWhenUsed/>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tabs>
        <w:tab w:val="center" w:pos="4153"/>
        <w:tab w:val="right" w:pos="8306"/>
      </w:tabs>
      <w:snapToGrid w:val="0"/>
      <w:jc w:val="center"/>
    </w:pPr>
    <w:rPr>
      <w:sz w:val="18"/>
      <w:szCs w:val="18"/>
    </w:rPr>
  </w:style>
  <w:style w:type="character" w:customStyle="1" w:styleId="9">
    <w:name w:val="页眉 字符"/>
    <w:basedOn w:val="8"/>
    <w:link w:val="6"/>
    <w:qFormat/>
    <w:uiPriority w:val="0"/>
    <w:rPr>
      <w:rFonts w:ascii="Calibri" w:hAnsi="Calibri" w:eastAsia="宋体" w:cs="Times New Roman"/>
      <w:kern w:val="2"/>
      <w:sz w:val="18"/>
      <w:szCs w:val="18"/>
    </w:rPr>
  </w:style>
  <w:style w:type="character" w:customStyle="1" w:styleId="10">
    <w:name w:val="页脚 字符"/>
    <w:basedOn w:val="8"/>
    <w:link w:val="5"/>
    <w:qFormat/>
    <w:uiPriority w:val="0"/>
    <w:rPr>
      <w:rFonts w:ascii="Calibri" w:hAnsi="Calibri" w:eastAsia="宋体" w:cs="Times New Roman"/>
      <w:kern w:val="2"/>
      <w:sz w:val="18"/>
      <w:szCs w:val="18"/>
    </w:rPr>
  </w:style>
  <w:style w:type="character" w:customStyle="1" w:styleId="11">
    <w:name w:val="标题 2 字符"/>
    <w:basedOn w:val="8"/>
    <w:link w:val="3"/>
    <w:qFormat/>
    <w:uiPriority w:val="0"/>
    <w:rPr>
      <w:rFonts w:asciiTheme="majorHAnsi" w:hAnsiTheme="majorHAnsi" w:eastAsiaTheme="majorEastAsia" w:cstheme="majorBidi"/>
      <w:b/>
      <w:bCs/>
      <w:kern w:val="2"/>
      <w:sz w:val="24"/>
      <w:szCs w:val="32"/>
    </w:rPr>
  </w:style>
  <w:style w:type="character" w:customStyle="1" w:styleId="12">
    <w:name w:val="标题 3 字符"/>
    <w:basedOn w:val="8"/>
    <w:link w:val="4"/>
    <w:qFormat/>
    <w:uiPriority w:val="0"/>
    <w:rPr>
      <w:rFonts w:ascii="Calibri" w:hAnsi="Calibri" w:eastAsia="宋体" w:cs="Times New Roman"/>
      <w:b/>
      <w:bCs/>
      <w:kern w:val="2"/>
      <w:sz w:val="32"/>
      <w:szCs w:val="32"/>
    </w:rPr>
  </w:style>
  <w:style w:type="character" w:customStyle="1" w:styleId="13">
    <w:name w:val="标题 1 字符"/>
    <w:basedOn w:val="8"/>
    <w:link w:val="2"/>
    <w:qFormat/>
    <w:uiPriority w:val="0"/>
    <w:rPr>
      <w:rFonts w:ascii="Calibri" w:hAnsi="Calibri" w:eastAsia="宋体" w:cs="Times New Roman"/>
      <w:b/>
      <w:bCs/>
      <w:kern w:val="44"/>
      <w:sz w:val="44"/>
      <w:szCs w:val="44"/>
    </w:rPr>
  </w:style>
  <w:style w:type="paragraph" w:styleId="14">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1854</Words>
  <Characters>1975</Characters>
  <Lines>13</Lines>
  <Paragraphs>3</Paragraphs>
  <TotalTime>2</TotalTime>
  <ScaleCrop>false</ScaleCrop>
  <LinksUpToDate>false</LinksUpToDate>
  <CharactersWithSpaces>1989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2025-03-11T10:32:00Z</dcterms:created>
  <dc:creator>temir</dc:creator>
  <cp:lastModifiedBy>fortress</cp:lastModifiedBy>
  <dcterms:modified xsi:type="dcterms:W3CDTF">2025-04-23T06:39:41Z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8B99B16B029B4621B261C8FED9AF0BED_13</vt:lpwstr>
  </property>
  <property fmtid="{D5CDD505-2E9C-101B-9397-08002B2CF9AE}" pid="4" name="KSOTemplateDocerSaveRecord">
    <vt:lpwstr>eyJoZGlkIjoiNDljYzAyNGRjZGVlYjk0MWMzMDA2NDNiZWQ4ZTBiYzIiLCJ1c2VySWQiOiIyNTUyMTI2NTUifQ==</vt:lpwstr>
  </property>
</Properties>
</file>