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20" w:lineRule="atLeast"/>
        <w:jc w:val="center"/>
        <w:rPr>
          <w:rFonts w:ascii="黑体" w:hAnsi="黑体" w:eastAsia="黑体"/>
          <w:b/>
          <w:sz w:val="44"/>
          <w:szCs w:val="44"/>
        </w:rPr>
      </w:pPr>
      <w:r>
        <w:rPr>
          <w:rFonts w:hint="eastAsia" w:ascii="黑体" w:hAnsi="黑体" w:eastAsia="黑体"/>
          <w:b/>
          <w:sz w:val="44"/>
          <w:szCs w:val="44"/>
        </w:rPr>
        <w:t>南京财经大学红山学院2023年专转本</w:t>
      </w:r>
    </w:p>
    <w:p>
      <w:pPr>
        <w:shd w:val="clear"/>
        <w:spacing w:after="156" w:afterLines="50" w:line="420" w:lineRule="atLeast"/>
        <w:jc w:val="center"/>
        <w:rPr>
          <w:rFonts w:ascii="黑体" w:hAnsi="黑体" w:eastAsia="黑体"/>
          <w:b/>
          <w:sz w:val="44"/>
          <w:szCs w:val="44"/>
        </w:rPr>
      </w:pPr>
      <w:r>
        <w:rPr>
          <w:rFonts w:hint="eastAsia" w:ascii="黑体" w:hAnsi="黑体" w:eastAsia="黑体"/>
          <w:b/>
          <w:sz w:val="44"/>
          <w:szCs w:val="44"/>
        </w:rPr>
        <w:t>招生简章</w:t>
      </w:r>
    </w:p>
    <w:p>
      <w:pPr>
        <w:shd w:val="clear"/>
        <w:spacing w:line="420" w:lineRule="atLeast"/>
        <w:jc w:val="center"/>
        <w:rPr>
          <w:rFonts w:ascii="仿宋" w:hAnsi="仿宋" w:eastAsia="仿宋"/>
          <w:sz w:val="32"/>
          <w:szCs w:val="32"/>
        </w:rPr>
      </w:pPr>
      <w:r>
        <w:rPr>
          <w:rFonts w:hint="eastAsia" w:ascii="仿宋" w:hAnsi="仿宋" w:eastAsia="仿宋"/>
          <w:sz w:val="32"/>
          <w:szCs w:val="32"/>
        </w:rPr>
        <w:t>招生代码：1816    批次：普</w:t>
      </w:r>
      <w:bookmarkStart w:id="0" w:name="_GoBack"/>
      <w:bookmarkEnd w:id="0"/>
      <w:r>
        <w:rPr>
          <w:rFonts w:hint="eastAsia" w:ascii="仿宋" w:hAnsi="仿宋" w:eastAsia="仿宋"/>
          <w:sz w:val="32"/>
          <w:szCs w:val="32"/>
        </w:rPr>
        <w:t>通批次</w:t>
      </w:r>
    </w:p>
    <w:p>
      <w:pPr>
        <w:shd w:val="clear"/>
        <w:spacing w:line="520" w:lineRule="exact"/>
        <w:rPr>
          <w:rFonts w:asciiTheme="majorEastAsia" w:hAnsiTheme="majorEastAsia" w:eastAsiaTheme="majorEastAsia"/>
          <w:b/>
          <w:bCs/>
          <w:sz w:val="32"/>
          <w:szCs w:val="32"/>
        </w:rPr>
      </w:pPr>
    </w:p>
    <w:p>
      <w:pPr>
        <w:shd w:val="clea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一、学院介绍及就读校区</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南京财经大学红山学院是1999年经江苏省教育厅批准建立的民办本科学院，2005年经国家教育部批准，成为国家普通高等教育独立学院。学院现有国际经济与贸易、贸易经济、法学、英语、会计学、财务管理、审计学、人力资源管理、金融学、保险学、税收学、工商管理、市场营销、电子商务、物流管理等15个本科专业，现有在校生近</w:t>
      </w:r>
      <w:r>
        <w:rPr>
          <w:rFonts w:ascii="仿宋" w:hAnsi="仿宋" w:eastAsia="仿宋"/>
          <w:sz w:val="32"/>
          <w:szCs w:val="32"/>
        </w:rPr>
        <w:t>万</w:t>
      </w:r>
      <w:r>
        <w:rPr>
          <w:rFonts w:hint="eastAsia" w:ascii="仿宋" w:hAnsi="仿宋" w:eastAsia="仿宋"/>
          <w:sz w:val="32"/>
          <w:szCs w:val="32"/>
        </w:rPr>
        <w:t>人。</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2019年，顺应国家对独立学院改革发展的新要求，南京财经大学携手安徽新华集团，拉开了历史性战略合作的序幕，为红山学院快速健康发展注入了新的活力，开启出新的发展空间。学院始终紧密依托南京财经大学的学科、专业优势，坚持育人为本、提高质量、强化特色、改革创新、服务社会的办学理念，为地方经济建设和社会发展培养经济学类、工商管理类、法学类、文学类等高水平应用型、技能型人才。学院依靠母体南京财经大学的优秀师资力量，坚持吸引一流的教师为学生授课，确保红山学院学生与南京财经大学学生共享优质教学资源。</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专转本学生在南京市鼓楼区铁路北街128号南京财经大学红山学院福建路校区学习（校外住宿），待高淳校区具备办学条件且履行办学地址变更程序后迁入高淳校区就读。</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详细介绍可查询南京财经大学红山学院官方网站。</w:t>
      </w:r>
    </w:p>
    <w:p>
      <w:pPr>
        <w:shd w:val="clea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二、招生计划</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南京财经大学红山学院2023年面向江苏省招收会计学、金融学、法学</w:t>
      </w:r>
      <w:r>
        <w:rPr>
          <w:rFonts w:ascii="仿宋" w:hAnsi="仿宋" w:eastAsia="仿宋"/>
          <w:sz w:val="32"/>
          <w:szCs w:val="32"/>
        </w:rPr>
        <w:t>3</w:t>
      </w:r>
      <w:r>
        <w:rPr>
          <w:rFonts w:hint="eastAsia" w:ascii="仿宋" w:hAnsi="仿宋" w:eastAsia="仿宋"/>
          <w:sz w:val="32"/>
          <w:szCs w:val="32"/>
        </w:rPr>
        <w:t>个专业共计230人，其中普通类计划218人，退役大学生士兵计划12人。各专业计划及报考要求详见附件1。</w:t>
      </w:r>
    </w:p>
    <w:p>
      <w:pPr>
        <w:shd w:val="clea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三、报名、志愿填报及考试</w:t>
      </w:r>
    </w:p>
    <w:p>
      <w:pPr>
        <w:shd w:val="clea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（一）选拔对象和报名条件</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1.选拔对象：列入国家普通高校招生计划，经省级招生部门按规定程序正式录取的，在本省各类普通高校的专科三年级在籍学生。</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2.报名条件：</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（1）思想品德较好，遵纪守法，身体健康；</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（2）修完学校教育教学计划规定内容，达到毕业要求，能正常毕业；</w:t>
      </w:r>
    </w:p>
    <w:p>
      <w:pPr>
        <w:shd w:val="clea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（3）取得全国计算机等级考试一级及以上证书（考虑到疫情影响，2022年12月份之前取得的江苏计算机等级考试一级及以上证书仍符合报名条件）。</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专科就读期间确因疫情原因导致未能正常报名参加全国或江苏计算机等级考试的学生如需参加</w:t>
      </w:r>
      <w:r>
        <w:rPr>
          <w:rFonts w:ascii="仿宋" w:hAnsi="仿宋" w:eastAsia="仿宋"/>
          <w:sz w:val="32"/>
          <w:szCs w:val="32"/>
        </w:rPr>
        <w:t>2023年“专转本”考试，须向其所在高校提出书面申请并签订承诺书，由其所在高校审核申请人实际情况。情况属实的可先报名参加2023年“专转本”考试，如被本科院校录取，须在2023年本科入学前取得2023年上半年全国计算机等级考试一级及以上证书，未取得相关证书的“专转本”新生接收院校不得办理入学手续。有关高校须将此类考生相关情况形成书面材料提交省教育考试院备案。</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3.报名资格审核：报考“专转本”的学生，其报名资格审核、报名信息采集、填报志愿等工作，由考生所在推荐学校按江苏省教育厅、江苏省教育考试院有关文件规定和要求组织实施，南京财经大学红山学院作为接收学校，不受理上述报名相关事宜。</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士兵计划生源的选拔和录取条件按照教育厅考试院规定执行。</w:t>
      </w:r>
    </w:p>
    <w:p>
      <w:pPr>
        <w:shd w:val="clea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（二）志愿填报</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2023年“专转本”录取按照考生报考类别设置平行院校志愿。考生可根据自己在专科阶段的学习情况，按照2023年江苏省普通高校“专转本”选拔考试专业大类设置所划分的专业大类选择相关专业。</w:t>
      </w:r>
    </w:p>
    <w:p>
      <w:pPr>
        <w:shd w:val="clear"/>
        <w:spacing w:line="520" w:lineRule="exact"/>
        <w:ind w:firstLine="640" w:firstLineChars="200"/>
        <w:rPr>
          <w:rFonts w:asciiTheme="minorEastAsia" w:hAnsiTheme="minorEastAsia"/>
          <w:sz w:val="32"/>
          <w:szCs w:val="32"/>
        </w:rPr>
      </w:pPr>
      <w:r>
        <w:rPr>
          <w:rFonts w:hint="eastAsia" w:ascii="楷体" w:hAnsi="楷体" w:eastAsia="楷体" w:cs="楷体"/>
          <w:sz w:val="32"/>
          <w:szCs w:val="32"/>
        </w:rPr>
        <w:t>（三）考试</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普通高校“专转本”工作是普通高校招生工作的重要组成部分，其招生考试工作参照普通高校招生考试工作的管理办法执行，报名、考试、录取工作均由江苏省教育考试院统一组织、统一监督。</w:t>
      </w:r>
    </w:p>
    <w:p>
      <w:pPr>
        <w:shd w:val="clea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四、招生录取</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基本原则：公开、公平、公正、竞争、择优。</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1.录取学生必须按规定参加江苏省教育考试院统一组织的选拔考试。南京财经大学红山学院根据考生填报的专业志愿，按照江苏省教育厅的政策规定分类别录取。</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2.全省统一考试结束后，由江苏省教育厅统一划出录取资格线，学院根据公布的计划和考生志愿，从高分到低分顺序录取，江苏省教育考试院负责组织录取和监督。</w:t>
      </w:r>
    </w:p>
    <w:p>
      <w:pPr>
        <w:shd w:val="clea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五、培养方式与收费标准</w:t>
      </w:r>
    </w:p>
    <w:p>
      <w:pPr>
        <w:shd w:val="clear"/>
        <w:spacing w:line="520" w:lineRule="exact"/>
        <w:ind w:firstLine="640" w:firstLineChars="200"/>
        <w:rPr>
          <w:rFonts w:ascii="黑体" w:hAnsi="黑体" w:eastAsia="黑体" w:cs="黑体"/>
          <w:b/>
          <w:bCs/>
          <w:sz w:val="32"/>
          <w:szCs w:val="32"/>
        </w:rPr>
      </w:pPr>
      <w:r>
        <w:rPr>
          <w:rFonts w:hint="eastAsia" w:ascii="楷体" w:hAnsi="楷体" w:eastAsia="楷体" w:cs="楷体"/>
          <w:sz w:val="32"/>
          <w:szCs w:val="32"/>
        </w:rPr>
        <w:t>（一）培养方式</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“专转本”学生入学后，统一转入南京财经大学红山学院本科三年级学习，学院为各专业“专转本”学生单独制定培养方案，单独编班组织教学。学习时间为两年。</w:t>
      </w:r>
    </w:p>
    <w:p>
      <w:pPr>
        <w:shd w:val="clea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（二）收费标准</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学院按照价格部门核定的学费标准对“专转本”学生进行收费。</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学费：14000元/年/生。</w:t>
      </w:r>
    </w:p>
    <w:p>
      <w:pPr>
        <w:shd w:val="clear"/>
        <w:spacing w:line="520" w:lineRule="exact"/>
        <w:ind w:firstLine="643" w:firstLineChars="200"/>
        <w:rPr>
          <w:rFonts w:asciiTheme="minorEastAsia" w:hAnsiTheme="minorEastAsia"/>
          <w:sz w:val="32"/>
          <w:szCs w:val="32"/>
        </w:rPr>
      </w:pPr>
      <w:r>
        <w:rPr>
          <w:rFonts w:hint="eastAsia" w:ascii="黑体" w:hAnsi="黑体" w:eastAsia="黑体" w:cs="黑体"/>
          <w:b/>
          <w:bCs/>
          <w:sz w:val="32"/>
          <w:szCs w:val="32"/>
        </w:rPr>
        <w:t>六、学籍管理及培养</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1.经江苏省教育考试院审批被南京财经大学红山学院录取的学生凭专科毕业证书和录取通知书按时到学院报到，并由原所在院校按照学籍和档案管理的有关规定办理学籍、档案和户口转出手续</w:t>
      </w:r>
      <w:r>
        <w:rPr>
          <w:rFonts w:ascii="仿宋" w:hAnsi="仿宋" w:eastAsia="仿宋"/>
          <w:sz w:val="32"/>
          <w:szCs w:val="32"/>
        </w:rPr>
        <w:t>,</w:t>
      </w:r>
      <w:r>
        <w:rPr>
          <w:rFonts w:hint="eastAsia" w:ascii="仿宋" w:hAnsi="仿宋" w:eastAsia="仿宋"/>
          <w:sz w:val="32"/>
          <w:szCs w:val="32"/>
        </w:rPr>
        <w:t>学院负责办理接收手续。未取得专科毕业证书的“专转本”学生，学院不予办理入学手续。</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2.对考生身体健康状况要求，按《普通高等学校招生体检工作指导意见》执行。学生入学后需进行体格检查，体检异常者按有关规定处理。</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3.“专转本”学生不得转专业和转学。</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4.“专转本”学生除国家和江苏省有明确规定的，享受与学院其他本科生同等待遇。学生修完教学计划规定的全部课程且成绩合格，颁发南京财经大学红山学院普通高等教育全日制本科毕业证书，毕业证书内容按照国家规定填写。符合学士学位授予条件者，授予南京财经大学红山学院学士学位。</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5.“专转本”学生毕业时，按国家有关本科毕业生的就业政策执行。</w:t>
      </w:r>
      <w:r>
        <w:rPr>
          <w:rFonts w:ascii="Calibri" w:hAnsi="Calibri" w:eastAsia="仿宋" w:cs="Calibri"/>
          <w:sz w:val="32"/>
          <w:szCs w:val="32"/>
        </w:rPr>
        <w:t>  </w:t>
      </w:r>
    </w:p>
    <w:p>
      <w:pPr>
        <w:shd w:val="clea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七、咨询监督电话</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咨询电话：0511-87762151</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监督电话：025-83495902</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南京财经大学红山学院网址：http://hs.nufe.edu.cn</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“南京财大红山学院”微信公众号：nufehs</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“南财红山招生”微信公众号：nufehszs</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本简章如与江苏省教育厅、江苏省教育考试院相关招生文件精神不一致的，以江苏省教育厅、江苏省教育考试院相关规定为准。</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本简章由南京财经大学红山学院招生办公室负责解释。</w:t>
      </w:r>
    </w:p>
    <w:p>
      <w:pPr>
        <w:shd w:val="clear"/>
        <w:spacing w:line="520" w:lineRule="exact"/>
        <w:ind w:firstLine="640" w:firstLineChars="200"/>
        <w:rPr>
          <w:rFonts w:ascii="仿宋" w:hAnsi="仿宋" w:eastAsia="仿宋"/>
          <w:sz w:val="32"/>
          <w:szCs w:val="32"/>
        </w:rPr>
      </w:pPr>
      <w:r>
        <w:rPr>
          <w:rFonts w:hint="eastAsia" w:ascii="仿宋" w:hAnsi="仿宋" w:eastAsia="仿宋"/>
          <w:sz w:val="32"/>
          <w:szCs w:val="32"/>
        </w:rPr>
        <w:t>附件：2023年南京财经大学红山学院“专转本”招生计划及报考要求</w:t>
      </w:r>
    </w:p>
    <w:p>
      <w:pPr>
        <w:shd w:val="clear"/>
        <w:spacing w:line="420" w:lineRule="atLeast"/>
        <w:jc w:val="center"/>
        <w:rPr>
          <w:rFonts w:asciiTheme="minorEastAsia" w:hAnsiTheme="minorEastAsia"/>
        </w:rPr>
      </w:pPr>
    </w:p>
    <w:p>
      <w:pPr>
        <w:shd w:val="clear"/>
        <w:spacing w:line="420" w:lineRule="atLeast"/>
        <w:jc w:val="center"/>
        <w:rPr>
          <w:rFonts w:asciiTheme="minorEastAsia" w:hAnsiTheme="minorEastAsia"/>
        </w:rPr>
      </w:pPr>
    </w:p>
    <w:p>
      <w:pPr>
        <w:shd w:val="clear"/>
        <w:spacing w:line="420" w:lineRule="atLeast"/>
        <w:jc w:val="center"/>
        <w:rPr>
          <w:rFonts w:asciiTheme="minorEastAsia" w:hAnsiTheme="minorEastAsia"/>
        </w:rPr>
      </w:pPr>
    </w:p>
    <w:p>
      <w:pPr>
        <w:shd w:val="clear"/>
        <w:spacing w:line="420" w:lineRule="atLeast"/>
        <w:jc w:val="center"/>
        <w:rPr>
          <w:rFonts w:asciiTheme="minorEastAsia" w:hAnsiTheme="minorEastAsia"/>
        </w:rPr>
      </w:pPr>
    </w:p>
    <w:p>
      <w:pPr>
        <w:shd w:val="clear"/>
        <w:rPr>
          <w:rFonts w:asciiTheme="minorEastAsia" w:hAnsiTheme="minorEastAsia"/>
        </w:rPr>
      </w:pPr>
      <w:r>
        <w:rPr>
          <w:rFonts w:hint="eastAsia" w:asciiTheme="minorEastAsia" w:hAnsiTheme="minorEastAsia"/>
        </w:rPr>
        <w:br w:type="page"/>
      </w:r>
    </w:p>
    <w:p>
      <w:pPr>
        <w:shd w:val="clear"/>
        <w:tabs>
          <w:tab w:val="left" w:pos="2835"/>
        </w:tabs>
        <w:spacing w:line="420" w:lineRule="atLeast"/>
        <w:rPr>
          <w:rFonts w:ascii="黑体" w:hAnsi="黑体" w:eastAsia="黑体" w:cs="黑体"/>
          <w:b/>
          <w:bCs/>
          <w:sz w:val="32"/>
          <w:szCs w:val="28"/>
        </w:rPr>
      </w:pPr>
      <w:r>
        <w:rPr>
          <w:rFonts w:hint="eastAsia" w:ascii="黑体" w:hAnsi="黑体" w:eastAsia="黑体" w:cs="黑体"/>
          <w:b/>
          <w:bCs/>
          <w:sz w:val="32"/>
          <w:szCs w:val="28"/>
        </w:rPr>
        <w:t>附件</w:t>
      </w:r>
    </w:p>
    <w:p>
      <w:pPr>
        <w:shd w:val="clear"/>
        <w:tabs>
          <w:tab w:val="left" w:pos="2835"/>
        </w:tabs>
        <w:spacing w:line="420" w:lineRule="atLeast"/>
        <w:jc w:val="center"/>
        <w:rPr>
          <w:rFonts w:ascii="黑体" w:hAnsi="黑体" w:eastAsia="黑体" w:cs="黑体"/>
          <w:b/>
          <w:bCs/>
          <w:w w:val="90"/>
          <w:sz w:val="32"/>
          <w:szCs w:val="28"/>
        </w:rPr>
      </w:pPr>
      <w:r>
        <w:rPr>
          <w:rFonts w:hint="eastAsia" w:ascii="黑体" w:hAnsi="黑体" w:eastAsia="黑体" w:cs="黑体"/>
          <w:b/>
          <w:bCs/>
          <w:w w:val="90"/>
          <w:sz w:val="32"/>
          <w:szCs w:val="28"/>
        </w:rPr>
        <w:t>2023年南京财经大学红山学院“专转本”招生计划及报考要求</w:t>
      </w:r>
    </w:p>
    <w:tbl>
      <w:tblPr>
        <w:tblStyle w:val="2"/>
        <w:tblW w:w="10798" w:type="dxa"/>
        <w:tblInd w:w="-998" w:type="dxa"/>
        <w:tblLayout w:type="autofit"/>
        <w:tblCellMar>
          <w:top w:w="0" w:type="dxa"/>
          <w:left w:w="108" w:type="dxa"/>
          <w:bottom w:w="0" w:type="dxa"/>
          <w:right w:w="108" w:type="dxa"/>
        </w:tblCellMar>
      </w:tblPr>
      <w:tblGrid>
        <w:gridCol w:w="1702"/>
        <w:gridCol w:w="1701"/>
        <w:gridCol w:w="1559"/>
        <w:gridCol w:w="1276"/>
        <w:gridCol w:w="1276"/>
        <w:gridCol w:w="3284"/>
      </w:tblGrid>
      <w:tr>
        <w:tblPrEx>
          <w:tblCellMar>
            <w:top w:w="0" w:type="dxa"/>
            <w:left w:w="108" w:type="dxa"/>
            <w:bottom w:w="0" w:type="dxa"/>
            <w:right w:w="108" w:type="dxa"/>
          </w:tblCellMar>
        </w:tblPrEx>
        <w:trPr>
          <w:trHeight w:val="120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仿宋" w:hAnsi="仿宋" w:eastAsia="仿宋"/>
                <w:b/>
                <w:bCs/>
                <w:color w:val="000000"/>
                <w:sz w:val="32"/>
                <w:szCs w:val="32"/>
              </w:rPr>
            </w:pPr>
            <w:r>
              <w:rPr>
                <w:rFonts w:hint="eastAsia" w:ascii="仿宋" w:hAnsi="仿宋" w:eastAsia="仿宋"/>
                <w:b/>
                <w:bCs/>
                <w:color w:val="000000"/>
                <w:sz w:val="32"/>
                <w:szCs w:val="32"/>
              </w:rPr>
              <w:t>报考类别</w:t>
            </w:r>
          </w:p>
        </w:tc>
        <w:tc>
          <w:tcPr>
            <w:tcW w:w="1701" w:type="dxa"/>
            <w:tcBorders>
              <w:top w:val="single" w:color="auto" w:sz="4" w:space="0"/>
              <w:left w:val="nil"/>
              <w:bottom w:val="single" w:color="auto" w:sz="4" w:space="0"/>
              <w:right w:val="single" w:color="auto" w:sz="4" w:space="0"/>
            </w:tcBorders>
            <w:shd w:val="clear" w:color="auto" w:fill="auto"/>
            <w:vAlign w:val="center"/>
          </w:tcPr>
          <w:p>
            <w:pPr>
              <w:shd w:val="clear"/>
              <w:rPr>
                <w:rFonts w:ascii="仿宋" w:hAnsi="仿宋" w:eastAsia="仿宋"/>
                <w:b/>
                <w:bCs/>
                <w:color w:val="000000"/>
                <w:sz w:val="32"/>
                <w:szCs w:val="32"/>
              </w:rPr>
            </w:pPr>
            <w:r>
              <w:rPr>
                <w:rFonts w:hint="eastAsia" w:ascii="仿宋" w:hAnsi="仿宋" w:eastAsia="仿宋"/>
                <w:b/>
                <w:bCs/>
                <w:color w:val="000000"/>
                <w:sz w:val="32"/>
                <w:szCs w:val="32"/>
              </w:rPr>
              <w:t>专业大类</w:t>
            </w:r>
          </w:p>
        </w:tc>
        <w:tc>
          <w:tcPr>
            <w:tcW w:w="1559" w:type="dxa"/>
            <w:tcBorders>
              <w:top w:val="single" w:color="auto" w:sz="4" w:space="0"/>
              <w:left w:val="nil"/>
              <w:bottom w:val="single" w:color="auto" w:sz="4" w:space="0"/>
              <w:right w:val="single" w:color="auto" w:sz="4" w:space="0"/>
            </w:tcBorders>
            <w:shd w:val="clear" w:color="auto" w:fill="auto"/>
            <w:vAlign w:val="center"/>
          </w:tcPr>
          <w:p>
            <w:pPr>
              <w:shd w:val="clear"/>
              <w:jc w:val="both"/>
              <w:rPr>
                <w:rFonts w:ascii="仿宋" w:hAnsi="仿宋" w:eastAsia="仿宋"/>
                <w:b/>
                <w:bCs/>
                <w:color w:val="000000"/>
                <w:sz w:val="32"/>
                <w:szCs w:val="32"/>
              </w:rPr>
            </w:pPr>
            <w:r>
              <w:rPr>
                <w:rFonts w:hint="eastAsia" w:ascii="仿宋" w:hAnsi="仿宋" w:eastAsia="仿宋"/>
                <w:b/>
                <w:bCs/>
                <w:color w:val="000000"/>
                <w:sz w:val="32"/>
                <w:szCs w:val="32"/>
              </w:rPr>
              <w:t>专业名称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shd w:val="clear"/>
              <w:jc w:val="both"/>
              <w:rPr>
                <w:rFonts w:ascii="仿宋" w:hAnsi="仿宋" w:eastAsia="仿宋"/>
                <w:b/>
                <w:bCs/>
                <w:color w:val="000000"/>
                <w:sz w:val="32"/>
                <w:szCs w:val="32"/>
              </w:rPr>
            </w:pPr>
            <w:r>
              <w:rPr>
                <w:rFonts w:hint="eastAsia" w:ascii="仿宋" w:hAnsi="仿宋" w:eastAsia="仿宋"/>
                <w:b/>
                <w:bCs/>
                <w:color w:val="000000"/>
                <w:sz w:val="32"/>
                <w:szCs w:val="32"/>
              </w:rPr>
              <w:t>计划数</w:t>
            </w:r>
          </w:p>
        </w:tc>
        <w:tc>
          <w:tcPr>
            <w:tcW w:w="1276" w:type="dxa"/>
            <w:tcBorders>
              <w:top w:val="single" w:color="auto" w:sz="4" w:space="0"/>
              <w:left w:val="nil"/>
              <w:bottom w:val="single" w:color="auto" w:sz="4" w:space="0"/>
              <w:right w:val="single" w:color="auto" w:sz="4" w:space="0"/>
            </w:tcBorders>
            <w:shd w:val="clear" w:color="auto" w:fill="auto"/>
            <w:vAlign w:val="center"/>
          </w:tcPr>
          <w:p>
            <w:pPr>
              <w:shd w:val="clear"/>
              <w:jc w:val="center"/>
              <w:rPr>
                <w:rFonts w:ascii="仿宋" w:hAnsi="仿宋" w:eastAsia="仿宋"/>
                <w:b/>
                <w:bCs/>
                <w:color w:val="000000"/>
                <w:sz w:val="32"/>
                <w:szCs w:val="32"/>
              </w:rPr>
            </w:pPr>
            <w:r>
              <w:rPr>
                <w:rFonts w:hint="eastAsia" w:ascii="仿宋" w:hAnsi="仿宋" w:eastAsia="仿宋"/>
                <w:b/>
                <w:bCs/>
                <w:color w:val="000000"/>
                <w:sz w:val="32"/>
                <w:szCs w:val="32"/>
              </w:rPr>
              <w:t>学费</w:t>
            </w:r>
          </w:p>
        </w:tc>
        <w:tc>
          <w:tcPr>
            <w:tcW w:w="3284" w:type="dxa"/>
            <w:tcBorders>
              <w:top w:val="single" w:color="auto" w:sz="4" w:space="0"/>
              <w:left w:val="nil"/>
              <w:bottom w:val="single" w:color="auto" w:sz="4" w:space="0"/>
              <w:right w:val="single" w:color="auto" w:sz="4" w:space="0"/>
            </w:tcBorders>
            <w:shd w:val="clear" w:color="auto" w:fill="auto"/>
            <w:vAlign w:val="center"/>
          </w:tcPr>
          <w:p>
            <w:pPr>
              <w:shd w:val="clear"/>
              <w:jc w:val="center"/>
              <w:rPr>
                <w:rFonts w:ascii="仿宋" w:hAnsi="仿宋" w:eastAsia="仿宋"/>
                <w:b/>
                <w:bCs/>
                <w:color w:val="000000"/>
                <w:sz w:val="32"/>
                <w:szCs w:val="32"/>
              </w:rPr>
            </w:pPr>
            <w:r>
              <w:rPr>
                <w:rFonts w:hint="eastAsia" w:ascii="仿宋" w:hAnsi="仿宋" w:eastAsia="仿宋"/>
                <w:b/>
                <w:bCs/>
                <w:color w:val="000000"/>
                <w:sz w:val="32"/>
                <w:szCs w:val="32"/>
              </w:rPr>
              <w:t>对统考科目要求</w:t>
            </w:r>
          </w:p>
        </w:tc>
      </w:tr>
      <w:tr>
        <w:tblPrEx>
          <w:tblCellMar>
            <w:top w:w="0" w:type="dxa"/>
            <w:left w:w="108" w:type="dxa"/>
            <w:bottom w:w="0" w:type="dxa"/>
            <w:right w:w="108" w:type="dxa"/>
          </w:tblCellMar>
        </w:tblPrEx>
        <w:trPr>
          <w:trHeight w:val="1200" w:hRule="atLeast"/>
        </w:trPr>
        <w:tc>
          <w:tcPr>
            <w:tcW w:w="1702" w:type="dxa"/>
            <w:vMerge w:val="restart"/>
            <w:tcBorders>
              <w:top w:val="nil"/>
              <w:left w:val="single" w:color="auto" w:sz="4" w:space="0"/>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普通类</w:t>
            </w:r>
          </w:p>
        </w:tc>
        <w:tc>
          <w:tcPr>
            <w:tcW w:w="1701"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财经类</w:t>
            </w:r>
          </w:p>
        </w:tc>
        <w:tc>
          <w:tcPr>
            <w:tcW w:w="1559"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会计学</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89</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14000</w:t>
            </w:r>
          </w:p>
        </w:tc>
        <w:tc>
          <w:tcPr>
            <w:tcW w:w="3284"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高等数学、专业综合</w:t>
            </w:r>
          </w:p>
        </w:tc>
      </w:tr>
      <w:tr>
        <w:tblPrEx>
          <w:tblCellMar>
            <w:top w:w="0" w:type="dxa"/>
            <w:left w:w="108" w:type="dxa"/>
            <w:bottom w:w="0" w:type="dxa"/>
            <w:right w:w="108" w:type="dxa"/>
          </w:tblCellMar>
        </w:tblPrEx>
        <w:trPr>
          <w:trHeight w:val="1200" w:hRule="atLeast"/>
        </w:trPr>
        <w:tc>
          <w:tcPr>
            <w:tcW w:w="1702" w:type="dxa"/>
            <w:vMerge w:val="continue"/>
            <w:tcBorders>
              <w:top w:val="nil"/>
              <w:left w:val="single" w:color="auto" w:sz="4" w:space="0"/>
              <w:bottom w:val="single" w:color="auto" w:sz="4" w:space="0"/>
              <w:right w:val="single" w:color="auto" w:sz="4" w:space="0"/>
            </w:tcBorders>
            <w:vAlign w:val="center"/>
          </w:tcPr>
          <w:p>
            <w:pPr>
              <w:shd w:val="clear"/>
              <w:rPr>
                <w:rFonts w:ascii="仿宋" w:hAnsi="仿宋" w:eastAsia="仿宋"/>
                <w:color w:val="000000"/>
                <w:sz w:val="32"/>
                <w:szCs w:val="32"/>
              </w:rPr>
            </w:pPr>
          </w:p>
        </w:tc>
        <w:tc>
          <w:tcPr>
            <w:tcW w:w="1701"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财经类</w:t>
            </w:r>
          </w:p>
        </w:tc>
        <w:tc>
          <w:tcPr>
            <w:tcW w:w="1559"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金融学</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84</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14000</w:t>
            </w:r>
          </w:p>
        </w:tc>
        <w:tc>
          <w:tcPr>
            <w:tcW w:w="3284"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高等数学、专业综合</w:t>
            </w:r>
          </w:p>
        </w:tc>
      </w:tr>
      <w:tr>
        <w:tblPrEx>
          <w:tblCellMar>
            <w:top w:w="0" w:type="dxa"/>
            <w:left w:w="108" w:type="dxa"/>
            <w:bottom w:w="0" w:type="dxa"/>
            <w:right w:w="108" w:type="dxa"/>
          </w:tblCellMar>
        </w:tblPrEx>
        <w:trPr>
          <w:trHeight w:val="1200" w:hRule="atLeast"/>
        </w:trPr>
        <w:tc>
          <w:tcPr>
            <w:tcW w:w="1702" w:type="dxa"/>
            <w:vMerge w:val="continue"/>
            <w:tcBorders>
              <w:top w:val="nil"/>
              <w:left w:val="single" w:color="auto" w:sz="4" w:space="0"/>
              <w:bottom w:val="single" w:color="auto" w:sz="4" w:space="0"/>
              <w:right w:val="single" w:color="auto" w:sz="4" w:space="0"/>
            </w:tcBorders>
            <w:vAlign w:val="center"/>
          </w:tcPr>
          <w:p>
            <w:pPr>
              <w:shd w:val="clear"/>
              <w:rPr>
                <w:rFonts w:ascii="仿宋" w:hAnsi="仿宋" w:eastAsia="仿宋"/>
                <w:color w:val="000000"/>
                <w:sz w:val="32"/>
                <w:szCs w:val="32"/>
              </w:rPr>
            </w:pPr>
          </w:p>
        </w:tc>
        <w:tc>
          <w:tcPr>
            <w:tcW w:w="1701"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法学类</w:t>
            </w:r>
          </w:p>
        </w:tc>
        <w:tc>
          <w:tcPr>
            <w:tcW w:w="1559"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法学</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45</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14000</w:t>
            </w:r>
          </w:p>
        </w:tc>
        <w:tc>
          <w:tcPr>
            <w:tcW w:w="3284"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大学语文、专业综合</w:t>
            </w:r>
          </w:p>
        </w:tc>
      </w:tr>
      <w:tr>
        <w:tblPrEx>
          <w:tblCellMar>
            <w:top w:w="0" w:type="dxa"/>
            <w:left w:w="108" w:type="dxa"/>
            <w:bottom w:w="0" w:type="dxa"/>
            <w:right w:w="108" w:type="dxa"/>
          </w:tblCellMar>
        </w:tblPrEx>
        <w:trPr>
          <w:trHeight w:val="1198" w:hRule="atLeast"/>
        </w:trPr>
        <w:tc>
          <w:tcPr>
            <w:tcW w:w="1702" w:type="dxa"/>
            <w:vMerge w:val="restart"/>
            <w:tcBorders>
              <w:top w:val="nil"/>
              <w:left w:val="single" w:color="auto" w:sz="4" w:space="0"/>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退役大学生士兵</w:t>
            </w:r>
          </w:p>
        </w:tc>
        <w:tc>
          <w:tcPr>
            <w:tcW w:w="1701"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财经类</w:t>
            </w:r>
          </w:p>
        </w:tc>
        <w:tc>
          <w:tcPr>
            <w:tcW w:w="1559"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会计学</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6</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14000</w:t>
            </w:r>
          </w:p>
        </w:tc>
        <w:tc>
          <w:tcPr>
            <w:tcW w:w="3284"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无</w:t>
            </w:r>
          </w:p>
        </w:tc>
      </w:tr>
      <w:tr>
        <w:tblPrEx>
          <w:tblCellMar>
            <w:top w:w="0" w:type="dxa"/>
            <w:left w:w="108" w:type="dxa"/>
            <w:bottom w:w="0" w:type="dxa"/>
            <w:right w:w="108" w:type="dxa"/>
          </w:tblCellMar>
        </w:tblPrEx>
        <w:trPr>
          <w:trHeight w:val="1268" w:hRule="atLeast"/>
        </w:trPr>
        <w:tc>
          <w:tcPr>
            <w:tcW w:w="1702" w:type="dxa"/>
            <w:vMerge w:val="continue"/>
            <w:tcBorders>
              <w:top w:val="nil"/>
              <w:left w:val="single" w:color="auto" w:sz="4" w:space="0"/>
              <w:bottom w:val="single" w:color="auto" w:sz="4" w:space="0"/>
              <w:right w:val="single" w:color="auto" w:sz="4" w:space="0"/>
            </w:tcBorders>
            <w:vAlign w:val="center"/>
          </w:tcPr>
          <w:p>
            <w:pPr>
              <w:shd w:val="clear"/>
              <w:rPr>
                <w:rFonts w:ascii="仿宋" w:hAnsi="仿宋" w:eastAsia="仿宋"/>
                <w:color w:val="000000"/>
                <w:sz w:val="32"/>
                <w:szCs w:val="32"/>
              </w:rPr>
            </w:pPr>
          </w:p>
        </w:tc>
        <w:tc>
          <w:tcPr>
            <w:tcW w:w="1701"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财经类</w:t>
            </w:r>
          </w:p>
        </w:tc>
        <w:tc>
          <w:tcPr>
            <w:tcW w:w="1559"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金融学</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6</w:t>
            </w:r>
          </w:p>
        </w:tc>
        <w:tc>
          <w:tcPr>
            <w:tcW w:w="1276"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14000</w:t>
            </w:r>
          </w:p>
        </w:tc>
        <w:tc>
          <w:tcPr>
            <w:tcW w:w="3284" w:type="dxa"/>
            <w:tcBorders>
              <w:top w:val="nil"/>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无</w:t>
            </w:r>
          </w:p>
        </w:tc>
      </w:tr>
      <w:tr>
        <w:tblPrEx>
          <w:tblCellMar>
            <w:top w:w="0" w:type="dxa"/>
            <w:left w:w="108" w:type="dxa"/>
            <w:bottom w:w="0" w:type="dxa"/>
            <w:right w:w="108" w:type="dxa"/>
          </w:tblCellMar>
        </w:tblPrEx>
        <w:trPr>
          <w:trHeight w:val="837" w:hRule="atLeast"/>
        </w:trPr>
        <w:tc>
          <w:tcPr>
            <w:tcW w:w="49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计划总计</w:t>
            </w:r>
          </w:p>
        </w:tc>
        <w:tc>
          <w:tcPr>
            <w:tcW w:w="5836" w:type="dxa"/>
            <w:gridSpan w:val="3"/>
            <w:tcBorders>
              <w:top w:val="single" w:color="auto" w:sz="4" w:space="0"/>
              <w:left w:val="nil"/>
              <w:bottom w:val="single" w:color="auto" w:sz="4" w:space="0"/>
              <w:right w:val="single" w:color="auto" w:sz="4" w:space="0"/>
            </w:tcBorders>
            <w:shd w:val="clear" w:color="auto" w:fill="auto"/>
            <w:vAlign w:val="center"/>
          </w:tcPr>
          <w:p>
            <w:pPr>
              <w:shd w:val="clear"/>
              <w:jc w:val="center"/>
              <w:rPr>
                <w:rFonts w:ascii="仿宋" w:hAnsi="仿宋" w:eastAsia="仿宋"/>
                <w:color w:val="000000"/>
                <w:sz w:val="32"/>
                <w:szCs w:val="32"/>
              </w:rPr>
            </w:pPr>
            <w:r>
              <w:rPr>
                <w:rFonts w:hint="eastAsia" w:ascii="仿宋" w:hAnsi="仿宋" w:eastAsia="仿宋"/>
                <w:color w:val="000000"/>
                <w:sz w:val="32"/>
                <w:szCs w:val="32"/>
              </w:rPr>
              <w:t>230</w:t>
            </w:r>
          </w:p>
        </w:tc>
      </w:tr>
    </w:tbl>
    <w:p>
      <w:pPr>
        <w:shd w:val="clear"/>
        <w:spacing w:line="420" w:lineRule="atLeast"/>
        <w:jc w:val="center"/>
      </w:pPr>
      <w:r>
        <w:rPr>
          <w:rFonts w:hint="eastAsia" w:ascii="仿宋" w:hAnsi="仿宋" w:eastAsia="仿宋"/>
          <w:sz w:val="32"/>
        </w:rPr>
        <w:t>备注：招生计划及专业要求以江苏省教育厅公布的为准。</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GMwMjkwYTBmMGZlZTAxMzQ5YWUyNTk5YTM1YWYifQ=="/>
  </w:docVars>
  <w:rsids>
    <w:rsidRoot w:val="006432ED"/>
    <w:rsid w:val="000261A3"/>
    <w:rsid w:val="00105F75"/>
    <w:rsid w:val="001225F9"/>
    <w:rsid w:val="001936B1"/>
    <w:rsid w:val="002467A2"/>
    <w:rsid w:val="00515EC0"/>
    <w:rsid w:val="005D6B1D"/>
    <w:rsid w:val="006432ED"/>
    <w:rsid w:val="009A199C"/>
    <w:rsid w:val="00A12FCB"/>
    <w:rsid w:val="00C728D5"/>
    <w:rsid w:val="00CA52F6"/>
    <w:rsid w:val="00EA3FC8"/>
    <w:rsid w:val="014F03EF"/>
    <w:rsid w:val="103C2486"/>
    <w:rsid w:val="2FD45921"/>
    <w:rsid w:val="5C1473E0"/>
    <w:rsid w:val="746E1B45"/>
    <w:rsid w:val="78D10E51"/>
    <w:rsid w:val="7A28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2354</Words>
  <Characters>2503</Characters>
  <Lines>18</Lines>
  <Paragraphs>5</Paragraphs>
  <TotalTime>28</TotalTime>
  <ScaleCrop>false</ScaleCrop>
  <LinksUpToDate>false</LinksUpToDate>
  <CharactersWithSpaces>2509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2022-12-23T02:00:00Z</dcterms:created>
  <dc:creator>Microsoft Office User</dc:creator>
  <cp:lastModifiedBy>♞坚持＆坚定℡</cp:lastModifiedBy>
  <dcterms:modified xsi:type="dcterms:W3CDTF">2022-12-30T03:25:39Z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DCA432ECA1C746DF9AD2CBF5958EC96F</vt:lpwstr>
  </property>
</Properties>
</file>