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5960">
      <w:pPr>
        <w:adjustRightInd w:val="0"/>
        <w:spacing w:before="312" w:beforeLines="100" w:after="312" w:afterLines="100" w:line="360" w:lineRule="auto"/>
        <w:contextualSpacing/>
        <w:jc w:val="center"/>
        <w:rPr>
          <w:rFonts w:hint="eastAsia" w:ascii="宋体" w:hAnsi="宋体"/>
          <w:b/>
          <w:sz w:val="32"/>
          <w:szCs w:val="32"/>
          <w:highlight w:val="none"/>
        </w:rPr>
      </w:pPr>
      <w:r>
        <w:rPr>
          <w:rFonts w:hint="eastAsia" w:ascii="宋体" w:hAnsi="宋体"/>
          <w:b/>
          <w:sz w:val="32"/>
          <w:szCs w:val="32"/>
          <w:highlight w:val="none"/>
        </w:rPr>
        <w:t>南京财经大学</w:t>
      </w:r>
      <w:r>
        <w:rPr>
          <w:rFonts w:ascii="宋体" w:hAnsi="宋体"/>
          <w:b/>
          <w:sz w:val="32"/>
          <w:szCs w:val="32"/>
          <w:highlight w:val="none"/>
        </w:rPr>
        <w:t>红山学</w:t>
      </w:r>
      <w:r>
        <w:rPr>
          <w:rFonts w:hint="eastAsia" w:ascii="宋体" w:hAnsi="宋体"/>
          <w:b/>
          <w:sz w:val="32"/>
          <w:szCs w:val="32"/>
          <w:highlight w:val="none"/>
          <w:lang w:val="en-US" w:eastAsia="zh-CN"/>
        </w:rPr>
        <w:t>院教室窗帘</w:t>
      </w:r>
      <w:r>
        <w:rPr>
          <w:rFonts w:ascii="宋体" w:hAnsi="宋体"/>
          <w:b/>
          <w:sz w:val="32"/>
          <w:szCs w:val="32"/>
          <w:highlight w:val="none"/>
        </w:rPr>
        <w:t>采购</w:t>
      </w:r>
      <w:r>
        <w:rPr>
          <w:rFonts w:hint="eastAsia" w:ascii="宋体" w:hAnsi="宋体"/>
          <w:b/>
          <w:sz w:val="32"/>
          <w:szCs w:val="32"/>
          <w:highlight w:val="none"/>
        </w:rPr>
        <w:t>项目询价文件</w:t>
      </w:r>
    </w:p>
    <w:p w14:paraId="72925591">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我</w:t>
      </w:r>
      <w:r>
        <w:rPr>
          <w:rFonts w:hint="eastAsia" w:ascii="宋体" w:hAnsi="宋体"/>
          <w:sz w:val="24"/>
          <w:szCs w:val="24"/>
          <w:highlight w:val="none"/>
          <w:lang w:val="en-US" w:eastAsia="zh-CN"/>
        </w:rPr>
        <w:t>校教室窗帘</w:t>
      </w:r>
      <w:r>
        <w:rPr>
          <w:rFonts w:ascii="宋体" w:hAnsi="宋体"/>
          <w:sz w:val="24"/>
          <w:szCs w:val="24"/>
          <w:highlight w:val="none"/>
        </w:rPr>
        <w:t>采购</w:t>
      </w:r>
      <w:r>
        <w:rPr>
          <w:rFonts w:hint="eastAsia" w:ascii="宋体" w:hAnsi="宋体"/>
          <w:sz w:val="24"/>
          <w:szCs w:val="24"/>
          <w:highlight w:val="none"/>
        </w:rPr>
        <w:t>项目</w:t>
      </w:r>
      <w:r>
        <w:rPr>
          <w:rFonts w:hint="eastAsia" w:ascii="宋体" w:hAnsi="宋体"/>
          <w:sz w:val="24"/>
          <w:szCs w:val="24"/>
          <w:highlight w:val="none"/>
          <w:lang w:eastAsia="zh-CN"/>
        </w:rPr>
        <w:t>（项目编号：</w:t>
      </w:r>
      <w:r>
        <w:rPr>
          <w:rFonts w:hint="eastAsia" w:ascii="宋体" w:hAnsi="宋体"/>
          <w:sz w:val="24"/>
          <w:szCs w:val="24"/>
          <w:highlight w:val="none"/>
          <w:lang w:eastAsia="zh-CN"/>
        </w:rPr>
        <w:t>NCHS202505</w:t>
      </w:r>
      <w:r>
        <w:rPr>
          <w:rFonts w:hint="eastAsia" w:ascii="宋体" w:hAnsi="宋体"/>
          <w:sz w:val="24"/>
          <w:szCs w:val="24"/>
          <w:highlight w:val="none"/>
          <w:lang w:val="en-US" w:eastAsia="zh-CN"/>
        </w:rPr>
        <w:t>28</w:t>
      </w:r>
      <w:r>
        <w:rPr>
          <w:rFonts w:hint="eastAsia" w:ascii="宋体" w:hAnsi="宋体"/>
          <w:sz w:val="24"/>
          <w:szCs w:val="24"/>
          <w:highlight w:val="none"/>
          <w:lang w:eastAsia="zh-CN"/>
        </w:rPr>
        <w:t>-</w:t>
      </w:r>
      <w:r>
        <w:rPr>
          <w:rFonts w:hint="eastAsia" w:ascii="宋体" w:hAnsi="宋体"/>
          <w:sz w:val="24"/>
          <w:szCs w:val="24"/>
          <w:highlight w:val="none"/>
          <w:lang w:eastAsia="zh-CN"/>
        </w:rPr>
        <w:t>XJ-HW0</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rPr>
        <w:t>通过</w:t>
      </w:r>
      <w:r>
        <w:rPr>
          <w:rFonts w:ascii="宋体" w:hAnsi="宋体"/>
          <w:sz w:val="24"/>
          <w:szCs w:val="24"/>
          <w:highlight w:val="none"/>
        </w:rPr>
        <w:t>询价方式</w:t>
      </w:r>
      <w:r>
        <w:rPr>
          <w:rFonts w:hint="eastAsia" w:ascii="宋体" w:hAnsi="宋体"/>
          <w:sz w:val="24"/>
          <w:szCs w:val="24"/>
          <w:highlight w:val="none"/>
        </w:rPr>
        <w:t>采购，欢迎符合资质要求的单位参与报价。本次询价采购由学院招投标</w:t>
      </w:r>
      <w:r>
        <w:rPr>
          <w:rFonts w:ascii="宋体" w:hAnsi="宋体"/>
          <w:sz w:val="24"/>
          <w:szCs w:val="24"/>
          <w:highlight w:val="none"/>
        </w:rPr>
        <w:t>工作小组</w:t>
      </w:r>
      <w:r>
        <w:rPr>
          <w:rFonts w:hint="eastAsia" w:ascii="宋体" w:hAnsi="宋体"/>
          <w:sz w:val="24"/>
          <w:szCs w:val="24"/>
          <w:highlight w:val="none"/>
        </w:rPr>
        <w:t>统一组织，并按照有关规定开展工作，请各参与单位积极配合，认真阅读本询价文件，精心做好相应工作。现将有关事项告知如下：</w:t>
      </w:r>
    </w:p>
    <w:p w14:paraId="78B96F51">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b/>
          <w:sz w:val="24"/>
          <w:szCs w:val="24"/>
          <w:highlight w:val="none"/>
        </w:rPr>
        <w:t>一、承办部门：</w:t>
      </w:r>
      <w:r>
        <w:rPr>
          <w:rFonts w:hint="eastAsia" w:ascii="宋体" w:hAnsi="宋体"/>
          <w:sz w:val="24"/>
          <w:szCs w:val="24"/>
          <w:highlight w:val="none"/>
        </w:rPr>
        <w:t>南京财经大学红山学院</w:t>
      </w:r>
      <w:r>
        <w:rPr>
          <w:rFonts w:hint="eastAsia" w:ascii="宋体" w:hAnsi="宋体"/>
          <w:sz w:val="24"/>
          <w:szCs w:val="24"/>
          <w:highlight w:val="none"/>
          <w:lang w:val="en-US" w:eastAsia="zh-CN"/>
        </w:rPr>
        <w:t>教务</w:t>
      </w:r>
      <w:r>
        <w:rPr>
          <w:rFonts w:hint="eastAsia" w:ascii="宋体" w:hAnsi="宋体"/>
          <w:sz w:val="24"/>
          <w:szCs w:val="24"/>
          <w:highlight w:val="none"/>
        </w:rPr>
        <w:t>处。</w:t>
      </w:r>
    </w:p>
    <w:p w14:paraId="51B659F3">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rPr>
        <w:t>二、项目描述：</w:t>
      </w:r>
    </w:p>
    <w:p w14:paraId="08411087">
      <w:pPr>
        <w:adjustRightInd w:val="0"/>
        <w:spacing w:line="460" w:lineRule="exact"/>
        <w:ind w:firstLine="480" w:firstLineChars="200"/>
        <w:contextualSpacing/>
        <w:rPr>
          <w:rFonts w:hint="default" w:ascii="宋体" w:hAnsi="宋体" w:eastAsia="宋体"/>
          <w:b w:val="0"/>
          <w:bCs/>
          <w:sz w:val="24"/>
          <w:szCs w:val="24"/>
          <w:highlight w:val="none"/>
          <w:lang w:val="en-US" w:eastAsia="zh-CN"/>
        </w:rPr>
      </w:pPr>
      <w:r>
        <w:rPr>
          <w:rFonts w:hint="eastAsia" w:ascii="宋体" w:hAnsi="宋体"/>
          <w:b w:val="0"/>
          <w:bCs/>
          <w:sz w:val="24"/>
          <w:szCs w:val="24"/>
          <w:highlight w:val="none"/>
          <w:lang w:val="en-US" w:eastAsia="zh-CN"/>
        </w:rPr>
        <w:t>询价内容</w:t>
      </w:r>
    </w:p>
    <w:tbl>
      <w:tblPr>
        <w:tblStyle w:val="9"/>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3098"/>
        <w:gridCol w:w="2094"/>
        <w:gridCol w:w="995"/>
      </w:tblGrid>
      <w:tr w14:paraId="0D4F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84" w:type="dxa"/>
            <w:vAlign w:val="center"/>
          </w:tcPr>
          <w:p w14:paraId="0BC1CEE2">
            <w:pPr>
              <w:spacing w:line="480" w:lineRule="exact"/>
              <w:jc w:val="center"/>
              <w:rPr>
                <w:rFonts w:ascii="宋体" w:hAnsi="宋体" w:cs="宋体"/>
                <w:color w:val="auto"/>
                <w:highlight w:val="none"/>
              </w:rPr>
            </w:pPr>
            <w:r>
              <w:rPr>
                <w:rFonts w:hint="eastAsia" w:ascii="宋体" w:hAnsi="宋体" w:cs="宋体"/>
                <w:color w:val="auto"/>
                <w:highlight w:val="none"/>
              </w:rPr>
              <w:t>项目名称</w:t>
            </w:r>
          </w:p>
        </w:tc>
        <w:tc>
          <w:tcPr>
            <w:tcW w:w="1875" w:type="dxa"/>
            <w:vAlign w:val="center"/>
          </w:tcPr>
          <w:p w14:paraId="74B1ABF7">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窗户面积</w:t>
            </w:r>
          </w:p>
        </w:tc>
        <w:tc>
          <w:tcPr>
            <w:tcW w:w="3098" w:type="dxa"/>
            <w:vAlign w:val="center"/>
          </w:tcPr>
          <w:p w14:paraId="036A0F2A">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参数要求</w:t>
            </w:r>
          </w:p>
        </w:tc>
        <w:tc>
          <w:tcPr>
            <w:tcW w:w="2094" w:type="dxa"/>
            <w:vAlign w:val="center"/>
          </w:tcPr>
          <w:p w14:paraId="1E1B73B3">
            <w:pPr>
              <w:spacing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参考照片</w:t>
            </w:r>
          </w:p>
        </w:tc>
        <w:tc>
          <w:tcPr>
            <w:tcW w:w="995" w:type="dxa"/>
            <w:vAlign w:val="center"/>
          </w:tcPr>
          <w:p w14:paraId="1E43ACBD">
            <w:pPr>
              <w:spacing w:line="480" w:lineRule="exact"/>
              <w:jc w:val="center"/>
              <w:rPr>
                <w:rFonts w:ascii="宋体" w:hAnsi="宋体" w:cs="宋体"/>
                <w:color w:val="auto"/>
                <w:highlight w:val="none"/>
              </w:rPr>
            </w:pPr>
            <w:r>
              <w:rPr>
                <w:rFonts w:hint="eastAsia" w:ascii="宋体" w:hAnsi="宋体" w:cs="宋体"/>
                <w:color w:val="auto"/>
                <w:highlight w:val="none"/>
              </w:rPr>
              <w:t>限价     （万元）</w:t>
            </w:r>
          </w:p>
        </w:tc>
      </w:tr>
      <w:tr w14:paraId="3CA5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184" w:type="dxa"/>
            <w:vAlign w:val="center"/>
          </w:tcPr>
          <w:p w14:paraId="01654CFE">
            <w:pPr>
              <w:spacing w:line="480" w:lineRule="exact"/>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布帘</w:t>
            </w:r>
          </w:p>
        </w:tc>
        <w:tc>
          <w:tcPr>
            <w:tcW w:w="1875" w:type="dxa"/>
            <w:vAlign w:val="center"/>
          </w:tcPr>
          <w:p w14:paraId="1E05A9BA">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430.44㎡</w:t>
            </w:r>
          </w:p>
        </w:tc>
        <w:tc>
          <w:tcPr>
            <w:tcW w:w="3098" w:type="dxa"/>
            <w:vAlign w:val="top"/>
          </w:tcPr>
          <w:p w14:paraId="2524384A">
            <w:pPr>
              <w:numPr>
                <w:ilvl w:val="0"/>
                <w:numId w:val="0"/>
              </w:numPr>
              <w:spacing w:line="480" w:lineRule="exact"/>
              <w:jc w:val="left"/>
              <w:rPr>
                <w:rFonts w:hint="eastAsia"/>
                <w:highlight w:val="none"/>
                <w:lang w:val="en-US" w:eastAsia="zh-CN"/>
              </w:rPr>
            </w:pPr>
            <w:r>
              <w:rPr>
                <w:rFonts w:hint="eastAsia"/>
                <w:highlight w:val="none"/>
                <w:lang w:val="en-US" w:eastAsia="zh-CN"/>
              </w:rPr>
              <w:t>布料：双面尼材质</w:t>
            </w:r>
            <w:r>
              <w:rPr>
                <w:rFonts w:hint="eastAsia"/>
                <w:highlight w:val="none"/>
              </w:rPr>
              <w:t>；</w:t>
            </w:r>
            <w:r>
              <w:rPr>
                <w:rFonts w:hint="eastAsia" w:eastAsia="宋体"/>
                <w:highlight w:val="none"/>
              </w:rPr>
              <w:t>甲醛含量≤200克/kg；克重</w:t>
            </w:r>
            <w:r>
              <w:rPr>
                <w:rFonts w:hint="eastAsia" w:eastAsia="宋体"/>
                <w:highlight w:val="none"/>
                <w:lang w:val="en-US" w:eastAsia="zh-CN"/>
              </w:rPr>
              <w:t>≥</w:t>
            </w:r>
            <w:r>
              <w:rPr>
                <w:rFonts w:hint="eastAsia" w:eastAsia="宋体"/>
                <w:highlight w:val="none"/>
              </w:rPr>
              <w:t>950</w:t>
            </w:r>
            <w:r>
              <w:rPr>
                <w:rFonts w:hint="eastAsia" w:eastAsia="宋体"/>
                <w:highlight w:val="none"/>
                <w:lang w:val="en-US" w:eastAsia="zh-CN"/>
              </w:rPr>
              <w:t>g</w:t>
            </w:r>
            <w:r>
              <w:rPr>
                <w:rFonts w:hint="eastAsia" w:eastAsia="宋体"/>
                <w:highlight w:val="none"/>
              </w:rPr>
              <w:t>/</w:t>
            </w:r>
            <w:r>
              <w:rPr>
                <w:rFonts w:hint="eastAsia"/>
                <w:highlight w:val="none"/>
                <w:lang w:val="en-US" w:eastAsia="zh-CN"/>
              </w:rPr>
              <w:t>m</w:t>
            </w:r>
            <w:r>
              <w:rPr>
                <w:rFonts w:hint="eastAsia"/>
                <w:highlight w:val="none"/>
              </w:rPr>
              <w:t>；达到B2级阻燃燃烧性能</w:t>
            </w:r>
            <w:r>
              <w:rPr>
                <w:rFonts w:hint="eastAsia"/>
                <w:highlight w:val="none"/>
                <w:lang w:eastAsia="zh-CN"/>
              </w:rPr>
              <w:t>；</w:t>
            </w:r>
            <w:r>
              <w:rPr>
                <w:rFonts w:hint="eastAsia"/>
                <w:highlight w:val="none"/>
              </w:rPr>
              <w:t>耐光色牢度≥4；ph值4.0-9.0</w:t>
            </w:r>
            <w:r>
              <w:rPr>
                <w:rFonts w:hint="eastAsia"/>
                <w:highlight w:val="none"/>
                <w:lang w:eastAsia="zh-CN"/>
              </w:rPr>
              <w:t>。</w:t>
            </w:r>
          </w:p>
        </w:tc>
        <w:tc>
          <w:tcPr>
            <w:tcW w:w="2094" w:type="dxa"/>
            <w:vAlign w:val="center"/>
          </w:tcPr>
          <w:p w14:paraId="6A3B2E7B">
            <w:pPr>
              <w:numPr>
                <w:ilvl w:val="0"/>
                <w:numId w:val="0"/>
              </w:numPr>
              <w:spacing w:line="240" w:lineRule="auto"/>
              <w:jc w:val="left"/>
              <w:rPr>
                <w:rFonts w:hint="eastAsia" w:ascii="宋体" w:hAnsi="宋体" w:eastAsia="宋体" w:cs="宋体"/>
                <w:color w:val="FF0000"/>
                <w:highlight w:val="none"/>
                <w:lang w:val="en-US" w:eastAsia="zh-CN"/>
              </w:rPr>
            </w:pPr>
            <w:r>
              <w:rPr>
                <w:highlight w:val="none"/>
              </w:rPr>
              <w:drawing>
                <wp:inline distT="0" distB="0" distL="114300" distR="114300">
                  <wp:extent cx="1030605" cy="1172210"/>
                  <wp:effectExtent l="0" t="0" r="171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30605" cy="1172210"/>
                          </a:xfrm>
                          <a:prstGeom prst="rect">
                            <a:avLst/>
                          </a:prstGeom>
                          <a:noFill/>
                          <a:ln>
                            <a:noFill/>
                          </a:ln>
                        </pic:spPr>
                      </pic:pic>
                    </a:graphicData>
                  </a:graphic>
                </wp:inline>
              </w:drawing>
            </w:r>
          </w:p>
        </w:tc>
        <w:tc>
          <w:tcPr>
            <w:tcW w:w="995" w:type="dxa"/>
            <w:vAlign w:val="center"/>
          </w:tcPr>
          <w:p w14:paraId="0466F4F6">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r>
      <w:tr w14:paraId="205A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9246" w:type="dxa"/>
            <w:gridSpan w:val="5"/>
            <w:vAlign w:val="center"/>
          </w:tcPr>
          <w:p w14:paraId="1588B14B">
            <w:pPr>
              <w:adjustRightInd w:val="0"/>
              <w:snapToGrid w:val="0"/>
              <w:spacing w:line="30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备注：</w:t>
            </w:r>
          </w:p>
          <w:p w14:paraId="70D09807">
            <w:pPr>
              <w:adjustRightInd w:val="0"/>
              <w:snapToGrid w:val="0"/>
              <w:spacing w:line="30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轨道安装，</w:t>
            </w:r>
            <w:r>
              <w:rPr>
                <w:rFonts w:hint="eastAsia" w:ascii="宋体" w:hAnsi="宋体" w:eastAsia="宋体" w:cs="宋体"/>
                <w:color w:val="auto"/>
                <w:sz w:val="21"/>
                <w:szCs w:val="21"/>
                <w:highlight w:val="none"/>
                <w:lang w:val="en-US" w:eastAsia="zh-CN"/>
              </w:rPr>
              <w:t>铝合金材质，宽≥28㎜、高≥25㎜、壁厚≥1.2mm；</w:t>
            </w:r>
          </w:p>
          <w:p w14:paraId="57102A39">
            <w:pPr>
              <w:adjustRightInd w:val="0"/>
              <w:snapToGrid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布帘褶皱比为1：2（不计折边），顶部卷边双层≥8cm，底部卷边双层≥8cm，接缝卷边双层≥8cm，左右卷边各≥3cm，制作工艺精细，缝纫线路笔直，有纺布带采用10CM宽的布带，挂钩采用塑料可调节挂钩，遮光帘须在锅炉内进行高温杀菌及真空定型处理，经过高温整烫定型后，遮光帘须达到自然波浪、皱折挺括、间距均匀、垂坠美观的效果；每幅窗帘要缝制扎带一条所有窗帘布料必须褶皱定型热处理，并经过预缩水处理；</w:t>
            </w:r>
          </w:p>
          <w:p w14:paraId="170B060D">
            <w:pPr>
              <w:adjustRightInd w:val="0"/>
              <w:snapToGrid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.单价包含全部材料及辅料、人工、税点、运费、安装、</w:t>
            </w:r>
            <w:r>
              <w:rPr>
                <w:rFonts w:hint="eastAsia" w:ascii="宋体" w:hAnsi="宋体" w:eastAsia="宋体" w:cs="宋体"/>
                <w:b/>
                <w:bCs/>
                <w:color w:val="auto"/>
                <w:sz w:val="21"/>
                <w:szCs w:val="21"/>
                <w:highlight w:val="none"/>
                <w:lang w:val="en-US" w:eastAsia="zh-CN"/>
              </w:rPr>
              <w:t>褶皱比例</w:t>
            </w:r>
            <w:r>
              <w:rPr>
                <w:rFonts w:hint="eastAsia" w:ascii="宋体" w:hAnsi="宋体" w:eastAsia="宋体" w:cs="宋体"/>
                <w:color w:val="auto"/>
                <w:sz w:val="21"/>
                <w:szCs w:val="21"/>
                <w:highlight w:val="none"/>
                <w:lang w:val="en-US" w:eastAsia="zh-CN"/>
              </w:rPr>
              <w:t>等所有费用；</w:t>
            </w:r>
          </w:p>
          <w:p w14:paraId="6A5E47AA">
            <w:pPr>
              <w:adjustRightInd w:val="0"/>
              <w:snapToGrid w:val="0"/>
              <w:spacing w:line="30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.免费质保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tc>
      </w:tr>
    </w:tbl>
    <w:p w14:paraId="5EEE2EAC">
      <w:pPr>
        <w:adjustRightInd w:val="0"/>
        <w:spacing w:line="460" w:lineRule="exact"/>
        <w:contextualSpacing/>
        <w:rPr>
          <w:rFonts w:hint="eastAsia" w:ascii="宋体" w:hAnsi="宋体"/>
          <w:sz w:val="24"/>
          <w:szCs w:val="24"/>
          <w:highlight w:val="none"/>
        </w:rPr>
      </w:pPr>
      <w:r>
        <w:rPr>
          <w:rFonts w:hint="eastAsia" w:ascii="宋体" w:hAnsi="宋体"/>
          <w:b/>
          <w:sz w:val="24"/>
          <w:szCs w:val="24"/>
          <w:highlight w:val="none"/>
          <w:lang w:val="en-US" w:eastAsia="zh-CN"/>
        </w:rPr>
        <w:t xml:space="preserve">    </w:t>
      </w:r>
      <w:r>
        <w:rPr>
          <w:rFonts w:hint="eastAsia" w:ascii="宋体" w:hAnsi="宋体"/>
          <w:b/>
          <w:sz w:val="24"/>
          <w:szCs w:val="24"/>
          <w:highlight w:val="none"/>
        </w:rPr>
        <w:t>三、项目地点：</w:t>
      </w:r>
      <w:r>
        <w:rPr>
          <w:rFonts w:hint="eastAsia" w:ascii="宋体" w:hAnsi="宋体"/>
          <w:b/>
          <w:bCs w:val="0"/>
          <w:sz w:val="24"/>
          <w:szCs w:val="24"/>
          <w:highlight w:val="none"/>
        </w:rPr>
        <w:t>南京市高淳区古柏街道鹿鸣大道66号，南京财经大学红山学院高淳</w:t>
      </w:r>
      <w:r>
        <w:rPr>
          <w:rFonts w:ascii="宋体" w:hAnsi="宋体"/>
          <w:b/>
          <w:bCs w:val="0"/>
          <w:sz w:val="24"/>
          <w:szCs w:val="24"/>
          <w:highlight w:val="none"/>
        </w:rPr>
        <w:t>校区</w:t>
      </w:r>
      <w:r>
        <w:rPr>
          <w:rFonts w:hint="eastAsia" w:ascii="宋体" w:hAnsi="宋体"/>
          <w:b/>
          <w:bCs w:val="0"/>
          <w:sz w:val="24"/>
          <w:szCs w:val="24"/>
          <w:highlight w:val="none"/>
        </w:rPr>
        <w:t>。</w:t>
      </w:r>
    </w:p>
    <w:p w14:paraId="0E04D54C">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rPr>
        <w:t>四、报价单位资质：</w:t>
      </w:r>
    </w:p>
    <w:p w14:paraId="7CC80796">
      <w:pPr>
        <w:adjustRightInd w:val="0"/>
        <w:snapToGri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必须是在</w:t>
      </w:r>
      <w:r>
        <w:rPr>
          <w:rFonts w:hint="eastAsia" w:ascii="宋体" w:hAnsi="宋体" w:cs="宋体"/>
          <w:color w:val="auto"/>
          <w:sz w:val="24"/>
          <w:szCs w:val="24"/>
          <w:highlight w:val="none"/>
          <w:lang w:val="en-US" w:eastAsia="zh-CN"/>
        </w:rPr>
        <w:t>市场监督</w:t>
      </w:r>
      <w:r>
        <w:rPr>
          <w:rFonts w:hint="eastAsia" w:ascii="宋体" w:hAnsi="宋体" w:cs="宋体"/>
          <w:color w:val="auto"/>
          <w:sz w:val="24"/>
          <w:szCs w:val="24"/>
          <w:highlight w:val="none"/>
        </w:rPr>
        <w:t>管理部门和税务部门登记注册的企业，具有独立法人资格，持有效营业执照、税务登记证、组织机构代码证（或三证合一）</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所经营项目相关的国家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行业规范要求的相关证照。</w:t>
      </w:r>
    </w:p>
    <w:p w14:paraId="310E48DD">
      <w:pPr>
        <w:adjustRightInd w:val="0"/>
        <w:snapToGrid w:val="0"/>
        <w:spacing w:line="30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必</w:t>
      </w:r>
      <w:r>
        <w:rPr>
          <w:rFonts w:hint="eastAsia" w:ascii="宋体" w:hAnsi="宋体" w:eastAsia="宋体" w:cs="宋体"/>
          <w:color w:val="auto"/>
          <w:sz w:val="24"/>
          <w:szCs w:val="24"/>
          <w:highlight w:val="none"/>
        </w:rPr>
        <w:t>须是投标货物的制造商（货物制造商是指遮光帘成品制造商，下同）或制造商针对本项目的唯一授权代理商，代理商投标，须提供制造商针对本项目的授权函，同一品牌制造商和代理商不得同时参与本项目投标。</w:t>
      </w:r>
    </w:p>
    <w:p w14:paraId="5ED2A2C5">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.具有本项目3年及以上成功运营经验和同类业务成功案例（须提供2022年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月之后的中标通知书或合同），并已按约定履行了相关义务。</w:t>
      </w:r>
    </w:p>
    <w:p w14:paraId="427B4B86">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.具有履行合同所需的专业设备和专业技术能力（根据项目需求提供履行合同所必需的专业设备和专业技术人员配置加盖公章的证明材料和相关承诺函，格式自拟）。</w:t>
      </w:r>
    </w:p>
    <w:p w14:paraId="3E9AE02F">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.提供近三年内在经营活动中没有重大违法违规行为和未受行业主管部门处罚的承诺书以及在“信用中国”或“诚信江苏”或中国政府采购网等渠道查询在本公告发布之日前的信用记录的截图。</w:t>
      </w:r>
    </w:p>
    <w:p w14:paraId="6BBAB071">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.提供法人证明复印件、法人授权委托书原件、法定代表人及被委托人身份证明复印件。</w:t>
      </w:r>
    </w:p>
    <w:p w14:paraId="7E401430">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.法律、行政法规规定的其他从事本项目资质条件。</w:t>
      </w:r>
    </w:p>
    <w:p w14:paraId="44DFF533">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.本次招标不接受联合体投标。</w:t>
      </w:r>
    </w:p>
    <w:p w14:paraId="6C883CE3">
      <w:pPr>
        <w:adjustRightInd w:val="0"/>
        <w:snapToGrid w:val="0"/>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注：上述所有证明文件均需加盖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w:t>
      </w:r>
    </w:p>
    <w:p w14:paraId="29AB398D">
      <w:pPr>
        <w:numPr>
          <w:ilvl w:val="0"/>
          <w:numId w:val="1"/>
        </w:numPr>
        <w:adjustRightInd w:val="0"/>
        <w:spacing w:line="460" w:lineRule="exact"/>
        <w:ind w:firstLine="480" w:firstLineChars="200"/>
        <w:contextualSpacing/>
        <w:rPr>
          <w:rFonts w:hint="eastAsia" w:ascii="宋体" w:hAnsi="宋体"/>
          <w:sz w:val="24"/>
          <w:szCs w:val="24"/>
          <w:highlight w:val="none"/>
        </w:rPr>
      </w:pPr>
      <w:r>
        <w:rPr>
          <w:rFonts w:hint="eastAsia" w:ascii="宋体" w:hAnsi="宋体"/>
          <w:b/>
          <w:sz w:val="24"/>
          <w:szCs w:val="24"/>
          <w:highlight w:val="none"/>
        </w:rPr>
        <w:t>成交供应商确定：</w:t>
      </w:r>
      <w:r>
        <w:rPr>
          <w:rFonts w:hint="eastAsia" w:ascii="宋体" w:hAnsi="宋体"/>
          <w:b w:val="0"/>
          <w:bCs/>
          <w:sz w:val="24"/>
          <w:szCs w:val="24"/>
          <w:highlight w:val="none"/>
          <w:lang w:val="en-US" w:eastAsia="zh-CN"/>
        </w:rPr>
        <w:t>由我校</w:t>
      </w:r>
      <w:r>
        <w:rPr>
          <w:rFonts w:hint="eastAsia" w:ascii="宋体" w:hAnsi="宋体" w:cs="宋体"/>
          <w:color w:val="auto"/>
          <w:sz w:val="24"/>
          <w:szCs w:val="24"/>
          <w:highlight w:val="none"/>
          <w:lang w:val="en-US" w:eastAsia="zh-CN"/>
        </w:rPr>
        <w:t>评标小组</w:t>
      </w:r>
      <w:r>
        <w:rPr>
          <w:rFonts w:hint="eastAsia" w:ascii="宋体" w:hAnsi="宋体" w:eastAsia="宋体" w:cs="宋体"/>
          <w:color w:val="auto"/>
          <w:sz w:val="24"/>
          <w:szCs w:val="24"/>
          <w:highlight w:val="none"/>
        </w:rPr>
        <w:t>综合</w:t>
      </w: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审确定中标供应商</w:t>
      </w:r>
      <w:r>
        <w:rPr>
          <w:rFonts w:hint="eastAsia" w:ascii="宋体" w:hAnsi="宋体"/>
          <w:sz w:val="24"/>
          <w:szCs w:val="24"/>
          <w:highlight w:val="none"/>
        </w:rPr>
        <w:t>。</w:t>
      </w:r>
    </w:p>
    <w:p w14:paraId="276C961C">
      <w:pPr>
        <w:numPr>
          <w:ilvl w:val="0"/>
          <w:numId w:val="0"/>
        </w:numPr>
        <w:adjustRightInd w:val="0"/>
        <w:spacing w:line="460" w:lineRule="exact"/>
        <w:ind w:firstLine="480" w:firstLineChars="200"/>
        <w:contextualSpacing/>
        <w:rPr>
          <w:rFonts w:hint="eastAsia" w:ascii="宋体" w:hAnsi="宋体"/>
          <w:color w:val="auto"/>
          <w:sz w:val="24"/>
          <w:szCs w:val="24"/>
          <w:highlight w:val="none"/>
          <w:lang w:val="en-US" w:eastAsia="zh-CN"/>
        </w:rPr>
      </w:pPr>
      <w:r>
        <w:rPr>
          <w:rFonts w:hint="eastAsia" w:ascii="宋体" w:hAnsi="宋体"/>
          <w:b/>
          <w:sz w:val="24"/>
          <w:szCs w:val="24"/>
          <w:highlight w:val="none"/>
          <w:lang w:val="en-US" w:eastAsia="zh-CN"/>
        </w:rPr>
        <w:t>六</w:t>
      </w:r>
      <w:r>
        <w:rPr>
          <w:rFonts w:hint="eastAsia" w:ascii="宋体" w:hAnsi="宋体"/>
          <w:b/>
          <w:sz w:val="24"/>
          <w:szCs w:val="24"/>
          <w:highlight w:val="none"/>
        </w:rPr>
        <w:t>、付款方式：</w:t>
      </w:r>
      <w:r>
        <w:rPr>
          <w:rFonts w:hint="eastAsia" w:ascii="宋体" w:hAnsi="宋体"/>
          <w:sz w:val="24"/>
          <w:szCs w:val="24"/>
          <w:highlight w:val="none"/>
        </w:rPr>
        <w:t>在指定位置</w:t>
      </w:r>
      <w:r>
        <w:rPr>
          <w:rFonts w:ascii="宋体" w:hAnsi="宋体"/>
          <w:sz w:val="24"/>
          <w:szCs w:val="24"/>
          <w:highlight w:val="none"/>
        </w:rPr>
        <w:t>交货并</w:t>
      </w:r>
      <w:r>
        <w:rPr>
          <w:rFonts w:hint="eastAsia" w:ascii="宋体" w:hAnsi="宋体"/>
          <w:sz w:val="24"/>
          <w:szCs w:val="24"/>
          <w:highlight w:val="none"/>
          <w:lang w:val="en-US" w:eastAsia="zh-CN"/>
        </w:rPr>
        <w:t>完成安装，经</w:t>
      </w:r>
      <w:r>
        <w:rPr>
          <w:rFonts w:ascii="宋体" w:hAnsi="宋体"/>
          <w:sz w:val="24"/>
          <w:szCs w:val="24"/>
          <w:highlight w:val="none"/>
        </w:rPr>
        <w:t>验收合格</w:t>
      </w:r>
      <w:r>
        <w:rPr>
          <w:rFonts w:hint="eastAsia" w:ascii="宋体" w:hAnsi="宋体"/>
          <w:sz w:val="24"/>
          <w:szCs w:val="24"/>
          <w:highlight w:val="none"/>
          <w:lang w:eastAsia="zh-CN"/>
        </w:rPr>
        <w:t>，</w:t>
      </w:r>
      <w:r>
        <w:rPr>
          <w:rFonts w:hint="eastAsia" w:ascii="宋体" w:hAnsi="宋体"/>
          <w:sz w:val="24"/>
          <w:szCs w:val="24"/>
          <w:highlight w:val="none"/>
        </w:rPr>
        <w:t>中标</w:t>
      </w:r>
      <w:r>
        <w:rPr>
          <w:rFonts w:hint="eastAsia" w:ascii="宋体" w:hAnsi="宋体"/>
          <w:sz w:val="24"/>
          <w:szCs w:val="24"/>
          <w:highlight w:val="none"/>
          <w:lang w:val="en-US" w:eastAsia="zh-CN"/>
        </w:rPr>
        <w:t>供应商</w:t>
      </w:r>
      <w:r>
        <w:rPr>
          <w:rFonts w:hint="eastAsia" w:ascii="宋体" w:hAnsi="宋体"/>
          <w:sz w:val="24"/>
          <w:szCs w:val="24"/>
          <w:highlight w:val="none"/>
        </w:rPr>
        <w:t>开具正规</w:t>
      </w:r>
      <w:r>
        <w:rPr>
          <w:rFonts w:hint="eastAsia" w:ascii="宋体" w:hAnsi="宋体"/>
          <w:sz w:val="24"/>
          <w:szCs w:val="24"/>
          <w:highlight w:val="none"/>
          <w:lang w:val="en-US" w:eastAsia="zh-CN"/>
        </w:rPr>
        <w:t>全额</w:t>
      </w:r>
      <w:r>
        <w:rPr>
          <w:rFonts w:hint="eastAsia" w:ascii="宋体" w:hAnsi="宋体"/>
          <w:sz w:val="24"/>
          <w:szCs w:val="24"/>
          <w:highlight w:val="none"/>
        </w:rPr>
        <w:t>增值税普通发票</w:t>
      </w:r>
      <w:r>
        <w:rPr>
          <w:rFonts w:hint="eastAsia" w:ascii="宋体" w:hAnsi="宋体"/>
          <w:sz w:val="24"/>
          <w:szCs w:val="24"/>
          <w:highlight w:val="none"/>
          <w:lang w:eastAsia="zh-CN"/>
        </w:rPr>
        <w:t>，</w:t>
      </w:r>
      <w:r>
        <w:rPr>
          <w:rFonts w:hint="eastAsia" w:ascii="宋体" w:hAnsi="宋体"/>
          <w:sz w:val="24"/>
          <w:szCs w:val="24"/>
          <w:highlight w:val="none"/>
          <w:lang w:val="en-US" w:eastAsia="zh-CN"/>
        </w:rPr>
        <w:t>询价人</w:t>
      </w:r>
      <w:r>
        <w:rPr>
          <w:rFonts w:ascii="宋体" w:hAnsi="宋体"/>
          <w:sz w:val="24"/>
          <w:szCs w:val="24"/>
          <w:highlight w:val="none"/>
        </w:rPr>
        <w:t>支付</w:t>
      </w:r>
      <w:r>
        <w:rPr>
          <w:rFonts w:hint="eastAsia" w:ascii="宋体" w:hAnsi="宋体"/>
          <w:sz w:val="24"/>
          <w:szCs w:val="24"/>
          <w:highlight w:val="none"/>
          <w:lang w:val="en-US" w:eastAsia="zh-CN"/>
        </w:rPr>
        <w:t>全部</w:t>
      </w:r>
      <w:r>
        <w:rPr>
          <w:rFonts w:ascii="宋体" w:hAnsi="宋体"/>
          <w:sz w:val="24"/>
          <w:szCs w:val="24"/>
          <w:highlight w:val="none"/>
        </w:rPr>
        <w:t>货款</w:t>
      </w:r>
      <w:r>
        <w:rPr>
          <w:rFonts w:hint="eastAsia" w:ascii="宋体" w:hAnsi="宋体"/>
          <w:sz w:val="24"/>
          <w:szCs w:val="24"/>
          <w:highlight w:val="none"/>
          <w:lang w:val="en-US" w:eastAsia="zh-CN"/>
        </w:rPr>
        <w:t>的95%，剩余5%作为质量保证金，自验收合格之日起</w:t>
      </w:r>
      <w:r>
        <w:rPr>
          <w:rFonts w:hint="eastAsia" w:ascii="宋体" w:hAnsi="宋体" w:eastAsia="宋体" w:cs="宋体"/>
          <w:i w:val="0"/>
          <w:color w:val="000000"/>
          <w:kern w:val="0"/>
          <w:sz w:val="24"/>
          <w:szCs w:val="24"/>
          <w:highlight w:val="none"/>
          <w:u w:val="none"/>
          <w:lang w:val="en-US" w:eastAsia="zh-CN" w:bidi="ar"/>
        </w:rPr>
        <w:t>满</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年后</w:t>
      </w:r>
      <w:r>
        <w:rPr>
          <w:rFonts w:hint="eastAsia" w:ascii="宋体" w:hAnsi="宋体" w:cs="宋体"/>
          <w:i w:val="0"/>
          <w:color w:val="000000"/>
          <w:kern w:val="0"/>
          <w:sz w:val="24"/>
          <w:szCs w:val="24"/>
          <w:highlight w:val="none"/>
          <w:u w:val="none"/>
          <w:lang w:val="en-US" w:eastAsia="zh-CN" w:bidi="ar"/>
        </w:rPr>
        <w:t>一次性无息</w:t>
      </w:r>
      <w:r>
        <w:rPr>
          <w:rFonts w:hint="eastAsia" w:ascii="宋体" w:hAnsi="宋体" w:eastAsia="宋体" w:cs="宋体"/>
          <w:i w:val="0"/>
          <w:color w:val="000000"/>
          <w:kern w:val="0"/>
          <w:sz w:val="24"/>
          <w:szCs w:val="24"/>
          <w:highlight w:val="none"/>
          <w:u w:val="none"/>
          <w:lang w:val="en-US" w:eastAsia="zh-CN" w:bidi="ar"/>
        </w:rPr>
        <w:t>付清。</w:t>
      </w:r>
      <w:r>
        <w:rPr>
          <w:rFonts w:hint="eastAsia" w:ascii="宋体" w:hAnsi="宋体" w:cs="宋体"/>
          <w:i w:val="0"/>
          <w:color w:val="000000"/>
          <w:kern w:val="0"/>
          <w:sz w:val="24"/>
          <w:szCs w:val="24"/>
          <w:highlight w:val="none"/>
          <w:u w:val="none"/>
          <w:lang w:val="en-US" w:eastAsia="zh-CN" w:bidi="ar"/>
        </w:rPr>
        <w:t>免费</w:t>
      </w:r>
      <w:r>
        <w:rPr>
          <w:rFonts w:ascii="宋体" w:hAnsi="宋体"/>
          <w:sz w:val="24"/>
          <w:szCs w:val="24"/>
          <w:highlight w:val="none"/>
        </w:rPr>
        <w:t>质保</w:t>
      </w:r>
      <w:r>
        <w:rPr>
          <w:rFonts w:hint="eastAsia" w:ascii="宋体" w:hAnsi="宋体"/>
          <w:sz w:val="24"/>
          <w:szCs w:val="24"/>
          <w:highlight w:val="none"/>
          <w:lang w:val="en-US" w:eastAsia="zh-CN"/>
        </w:rPr>
        <w:t>期为2</w:t>
      </w:r>
      <w:r>
        <w:rPr>
          <w:rFonts w:hint="eastAsia" w:ascii="宋体" w:hAnsi="宋体"/>
          <w:sz w:val="24"/>
          <w:szCs w:val="24"/>
          <w:highlight w:val="none"/>
        </w:rPr>
        <w:t>年</w:t>
      </w:r>
      <w:r>
        <w:rPr>
          <w:rFonts w:hint="eastAsia" w:ascii="宋体" w:hAnsi="宋体"/>
          <w:sz w:val="24"/>
          <w:szCs w:val="24"/>
          <w:highlight w:val="none"/>
          <w:lang w:eastAsia="zh-CN"/>
        </w:rPr>
        <w:t>，</w:t>
      </w:r>
      <w:r>
        <w:rPr>
          <w:rFonts w:hint="eastAsia" w:ascii="宋体" w:hAnsi="宋体"/>
          <w:color w:val="auto"/>
          <w:sz w:val="24"/>
          <w:szCs w:val="24"/>
          <w:highlight w:val="none"/>
          <w:lang w:val="en-US" w:eastAsia="zh-CN"/>
        </w:rPr>
        <w:t>质保期内需上门提供免费维护及更换。</w:t>
      </w:r>
    </w:p>
    <w:p w14:paraId="63010954">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、工期：</w:t>
      </w:r>
      <w:r>
        <w:rPr>
          <w:rFonts w:hint="eastAsia" w:ascii="宋体" w:hAnsi="宋体"/>
          <w:sz w:val="24"/>
          <w:szCs w:val="24"/>
          <w:highlight w:val="none"/>
        </w:rPr>
        <w:t>自合同签订之日起</w:t>
      </w:r>
      <w:r>
        <w:rPr>
          <w:rFonts w:hint="eastAsia" w:ascii="宋体" w:hAnsi="宋体"/>
          <w:sz w:val="24"/>
          <w:szCs w:val="24"/>
          <w:highlight w:val="none"/>
          <w:lang w:val="en-US" w:eastAsia="zh-CN"/>
        </w:rPr>
        <w:t>15</w:t>
      </w:r>
      <w:r>
        <w:rPr>
          <w:rFonts w:hint="eastAsia" w:ascii="宋体" w:hAnsi="宋体"/>
          <w:sz w:val="24"/>
          <w:szCs w:val="24"/>
          <w:highlight w:val="none"/>
        </w:rPr>
        <w:t>日内交付</w:t>
      </w:r>
      <w:r>
        <w:rPr>
          <w:rFonts w:hint="eastAsia" w:ascii="宋体" w:hAnsi="宋体"/>
          <w:sz w:val="24"/>
          <w:szCs w:val="24"/>
          <w:highlight w:val="none"/>
          <w:lang w:val="en-US" w:eastAsia="zh-CN"/>
        </w:rPr>
        <w:t>完成安装</w:t>
      </w:r>
      <w:r>
        <w:rPr>
          <w:rFonts w:hint="eastAsia" w:ascii="宋体" w:hAnsi="宋体"/>
          <w:sz w:val="24"/>
          <w:szCs w:val="24"/>
          <w:highlight w:val="none"/>
        </w:rPr>
        <w:t>。</w:t>
      </w:r>
    </w:p>
    <w:p w14:paraId="3C654F5E">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lang w:val="en-US" w:eastAsia="zh-CN"/>
        </w:rPr>
        <w:t>八</w:t>
      </w:r>
      <w:r>
        <w:rPr>
          <w:rFonts w:hint="eastAsia" w:ascii="宋体" w:hAnsi="宋体"/>
          <w:b/>
          <w:sz w:val="24"/>
          <w:szCs w:val="24"/>
          <w:highlight w:val="none"/>
        </w:rPr>
        <w:t>、报价文件的组成</w:t>
      </w:r>
    </w:p>
    <w:p w14:paraId="650FE277">
      <w:pPr>
        <w:adjustRightIn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1．文件目录索引。</w:t>
      </w:r>
    </w:p>
    <w:p w14:paraId="12AA9CFD">
      <w:pPr>
        <w:adjustRightInd w:val="0"/>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2．资质证明：询价文件第</w:t>
      </w:r>
      <w:r>
        <w:rPr>
          <w:rFonts w:hint="eastAsia" w:ascii="宋体" w:hAnsi="宋体" w:cs="宋体"/>
          <w:sz w:val="24"/>
          <w:szCs w:val="24"/>
          <w:highlight w:val="none"/>
          <w:lang w:val="en-US" w:eastAsia="zh-CN"/>
        </w:rPr>
        <w:t>四</w:t>
      </w:r>
      <w:r>
        <w:rPr>
          <w:rFonts w:hint="eastAsia" w:ascii="宋体" w:hAnsi="宋体" w:cs="宋体"/>
          <w:sz w:val="24"/>
          <w:szCs w:val="24"/>
          <w:highlight w:val="none"/>
        </w:rPr>
        <w:t>项“报价单位资质”中所要求的证明材料。</w:t>
      </w:r>
    </w:p>
    <w:p w14:paraId="505F2C7A">
      <w:pPr>
        <w:adjustRightInd w:val="0"/>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3. 报价单：报价为一次性</w:t>
      </w:r>
      <w:r>
        <w:rPr>
          <w:rFonts w:hint="eastAsia" w:ascii="宋体" w:hAnsi="宋体" w:cs="宋体"/>
          <w:sz w:val="24"/>
          <w:szCs w:val="24"/>
          <w:highlight w:val="none"/>
          <w:lang w:val="en-US" w:eastAsia="zh-CN"/>
        </w:rPr>
        <w:t>含税</w:t>
      </w:r>
      <w:r>
        <w:rPr>
          <w:rFonts w:hint="eastAsia" w:ascii="宋体" w:hAnsi="宋体" w:cs="宋体"/>
          <w:sz w:val="24"/>
          <w:szCs w:val="24"/>
          <w:highlight w:val="none"/>
        </w:rPr>
        <w:t>报价，采购人不再支付其他任何费用。</w:t>
      </w:r>
    </w:p>
    <w:p w14:paraId="10214276">
      <w:pPr>
        <w:adjustRightInd w:val="0"/>
        <w:spacing w:line="360" w:lineRule="auto"/>
        <w:ind w:firstLine="480" w:firstLineChars="200"/>
        <w:contextualSpacing/>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4. 产品图册、材质说明、布样</w:t>
      </w:r>
      <w:r>
        <w:rPr>
          <w:rFonts w:hint="eastAsia" w:ascii="宋体" w:hAnsi="宋体" w:cs="宋体"/>
          <w:b/>
          <w:bCs/>
          <w:sz w:val="24"/>
          <w:szCs w:val="24"/>
          <w:highlight w:val="none"/>
          <w:lang w:val="en-US" w:eastAsia="zh-CN"/>
        </w:rPr>
        <w:t>、罗马杆、挂钩</w:t>
      </w:r>
      <w:r>
        <w:rPr>
          <w:rFonts w:hint="eastAsia" w:ascii="宋体" w:hAnsi="宋体" w:cs="宋体"/>
          <w:b/>
          <w:bCs/>
          <w:sz w:val="24"/>
          <w:szCs w:val="24"/>
          <w:highlight w:val="none"/>
          <w:lang w:val="en-US" w:eastAsia="zh-CN"/>
        </w:rPr>
        <w:t>等材料。</w:t>
      </w:r>
    </w:p>
    <w:p w14:paraId="35694A75">
      <w:pPr>
        <w:adjustRightInd w:val="0"/>
        <w:spacing w:line="460" w:lineRule="exact"/>
        <w:ind w:firstLine="480" w:firstLineChars="200"/>
        <w:contextualSpacing/>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质保承诺：对采购物品提供质保承诺。</w:t>
      </w:r>
    </w:p>
    <w:p w14:paraId="4E0DBE40">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rPr>
        <w:t>注：提供的全部资质材料复印件须加盖</w:t>
      </w:r>
      <w:r>
        <w:rPr>
          <w:rFonts w:hint="eastAsia" w:ascii="宋体" w:hAnsi="宋体"/>
          <w:b/>
          <w:sz w:val="24"/>
          <w:szCs w:val="24"/>
          <w:highlight w:val="none"/>
          <w:lang w:val="en-US" w:eastAsia="zh-CN"/>
        </w:rPr>
        <w:t>供应商</w:t>
      </w:r>
      <w:r>
        <w:rPr>
          <w:rFonts w:hint="eastAsia" w:ascii="宋体" w:hAnsi="宋体"/>
          <w:b/>
          <w:sz w:val="24"/>
          <w:szCs w:val="24"/>
          <w:highlight w:val="none"/>
        </w:rPr>
        <w:t>公章，原件备查。</w:t>
      </w:r>
    </w:p>
    <w:p w14:paraId="08188EFE">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lang w:val="en-US" w:eastAsia="zh-CN"/>
        </w:rPr>
        <w:t>九</w:t>
      </w:r>
      <w:r>
        <w:rPr>
          <w:rFonts w:hint="eastAsia" w:ascii="宋体" w:hAnsi="宋体"/>
          <w:b/>
          <w:sz w:val="24"/>
          <w:szCs w:val="24"/>
          <w:highlight w:val="none"/>
        </w:rPr>
        <w:t>、</w:t>
      </w:r>
      <w:r>
        <w:rPr>
          <w:rFonts w:ascii="宋体" w:hAnsi="宋体"/>
          <w:b/>
          <w:sz w:val="24"/>
          <w:szCs w:val="24"/>
          <w:highlight w:val="none"/>
        </w:rPr>
        <w:t>报价文件签</w:t>
      </w:r>
      <w:r>
        <w:rPr>
          <w:rFonts w:hint="eastAsia" w:ascii="宋体" w:hAnsi="宋体"/>
          <w:b/>
          <w:sz w:val="24"/>
          <w:szCs w:val="24"/>
          <w:highlight w:val="none"/>
        </w:rPr>
        <w:t>署和递交</w:t>
      </w:r>
    </w:p>
    <w:p w14:paraId="1CE7AA9F">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1.报价单、所有说明及承诺材料均应使用不能擦去的墨水书写或A4纸打印，由</w:t>
      </w:r>
      <w:r>
        <w:rPr>
          <w:rFonts w:hint="eastAsia" w:ascii="宋体" w:hAnsi="宋体"/>
          <w:sz w:val="24"/>
          <w:szCs w:val="24"/>
          <w:highlight w:val="none"/>
          <w:lang w:val="en-US" w:eastAsia="zh-CN"/>
        </w:rPr>
        <w:t>供应商</w:t>
      </w:r>
      <w:r>
        <w:rPr>
          <w:rFonts w:hint="eastAsia" w:ascii="宋体" w:hAnsi="宋体"/>
          <w:sz w:val="24"/>
          <w:szCs w:val="24"/>
          <w:highlight w:val="none"/>
        </w:rPr>
        <w:t>加盖公章并由法人或法人委托的代理人签名；</w:t>
      </w:r>
      <w:r>
        <w:rPr>
          <w:rFonts w:hint="eastAsia" w:ascii="宋体" w:hAnsi="宋体"/>
          <w:sz w:val="24"/>
          <w:szCs w:val="24"/>
          <w:highlight w:val="none"/>
          <w:lang w:val="en-US" w:eastAsia="zh-CN"/>
        </w:rPr>
        <w:t>报价文件共需五份，一份正本四份副本；</w:t>
      </w:r>
      <w:r>
        <w:rPr>
          <w:rFonts w:hint="eastAsia" w:ascii="宋体" w:hAnsi="宋体"/>
          <w:sz w:val="24"/>
          <w:szCs w:val="24"/>
          <w:highlight w:val="none"/>
        </w:rPr>
        <w:t>所有复印材料均须加盖公章。</w:t>
      </w:r>
    </w:p>
    <w:p w14:paraId="60CA7A1B">
      <w:pPr>
        <w:adjustRightInd w:val="0"/>
        <w:spacing w:line="480" w:lineRule="exact"/>
        <w:ind w:firstLine="480" w:firstLineChars="200"/>
        <w:contextualSpacing/>
        <w:rPr>
          <w:rFonts w:hint="eastAsia" w:ascii="宋体" w:hAnsi="宋体" w:cs="宋体"/>
          <w:sz w:val="24"/>
          <w:szCs w:val="24"/>
          <w:highlight w:val="none"/>
        </w:rPr>
      </w:pPr>
      <w:r>
        <w:rPr>
          <w:rFonts w:hint="eastAsia" w:ascii="宋体" w:hAnsi="宋体"/>
          <w:sz w:val="24"/>
          <w:szCs w:val="24"/>
          <w:highlight w:val="none"/>
        </w:rPr>
        <w:t>2．</w:t>
      </w:r>
      <w:r>
        <w:rPr>
          <w:rFonts w:hint="eastAsia" w:ascii="宋体" w:hAnsi="宋体" w:cs="宋体"/>
          <w:sz w:val="24"/>
          <w:szCs w:val="24"/>
          <w:highlight w:val="none"/>
        </w:rPr>
        <w:t>请将密封后的报价文件递交至：南京财经大学红山学院院长办公室，地址：南京财经大学红山学院高淳校区图书馆604室。联系人：</w:t>
      </w:r>
      <w:r>
        <w:rPr>
          <w:rFonts w:hint="eastAsia" w:ascii="宋体" w:hAnsi="宋体" w:cs="宋体"/>
          <w:sz w:val="24"/>
          <w:szCs w:val="24"/>
          <w:highlight w:val="none"/>
          <w:lang w:val="en-US" w:eastAsia="zh-CN"/>
        </w:rPr>
        <w:t>徐</w:t>
      </w:r>
      <w:r>
        <w:rPr>
          <w:rFonts w:hint="eastAsia" w:ascii="宋体" w:hAnsi="宋体" w:cs="宋体"/>
          <w:sz w:val="24"/>
          <w:szCs w:val="24"/>
          <w:highlight w:val="none"/>
        </w:rPr>
        <w:t>老师，电话：</w:t>
      </w:r>
      <w:r>
        <w:rPr>
          <w:rFonts w:hint="eastAsia" w:ascii="宋体" w:hAnsi="宋体" w:cs="宋体"/>
          <w:sz w:val="24"/>
          <w:szCs w:val="24"/>
          <w:highlight w:val="none"/>
          <w:lang w:val="en-US" w:eastAsia="zh-CN"/>
        </w:rPr>
        <w:t>13913335859</w:t>
      </w:r>
      <w:r>
        <w:rPr>
          <w:rFonts w:hint="eastAsia" w:ascii="宋体" w:hAnsi="宋体" w:cs="宋体"/>
          <w:sz w:val="24"/>
          <w:szCs w:val="24"/>
          <w:highlight w:val="none"/>
        </w:rPr>
        <w:t>。</w:t>
      </w:r>
    </w:p>
    <w:p w14:paraId="45593470">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3. 递交报价文件截止时间：202</w:t>
      </w:r>
      <w:r>
        <w:rPr>
          <w:rFonts w:hint="eastAsia" w:ascii="宋体" w:hAnsi="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cs="宋体"/>
          <w:sz w:val="24"/>
          <w:szCs w:val="24"/>
          <w:highlight w:val="none"/>
        </w:rPr>
        <w:t>日上午</w:t>
      </w:r>
      <w:r>
        <w:rPr>
          <w:rFonts w:hint="eastAsia" w:ascii="宋体" w:hAnsi="宋体" w:cs="宋体"/>
          <w:sz w:val="24"/>
          <w:szCs w:val="24"/>
          <w:highlight w:val="none"/>
          <w:lang w:val="en-US" w:eastAsia="zh-CN"/>
        </w:rPr>
        <w:t>10:30</w:t>
      </w:r>
      <w:r>
        <w:rPr>
          <w:rFonts w:hint="eastAsia" w:ascii="宋体" w:hAnsi="宋体" w:cs="宋体"/>
          <w:sz w:val="24"/>
          <w:szCs w:val="24"/>
          <w:highlight w:val="none"/>
        </w:rPr>
        <w:t>分（</w:t>
      </w:r>
      <w:r>
        <w:rPr>
          <w:rFonts w:hint="eastAsia" w:ascii="宋体" w:hAnsi="宋体"/>
          <w:sz w:val="24"/>
          <w:szCs w:val="24"/>
          <w:highlight w:val="none"/>
        </w:rPr>
        <w:t>北京时间）</w:t>
      </w:r>
    </w:p>
    <w:p w14:paraId="6089589D">
      <w:pPr>
        <w:adjustRightInd w:val="0"/>
        <w:spacing w:line="460" w:lineRule="exact"/>
        <w:ind w:firstLine="480" w:firstLineChars="200"/>
        <w:contextualSpacing/>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4.报价文件可以采用当面递交或邮寄送达等方式，如需当面递交请提前联系相关老师，告知需入校的递送人信息申请入校。</w:t>
      </w:r>
    </w:p>
    <w:p w14:paraId="409C2A24">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b/>
          <w:sz w:val="24"/>
          <w:szCs w:val="24"/>
          <w:highlight w:val="none"/>
        </w:rPr>
        <w:t>十、报价有效期：</w:t>
      </w:r>
      <w:r>
        <w:rPr>
          <w:rFonts w:hint="eastAsia" w:ascii="宋体" w:hAnsi="宋体"/>
          <w:sz w:val="24"/>
          <w:szCs w:val="24"/>
          <w:highlight w:val="none"/>
        </w:rPr>
        <w:t>报价递交截止日后30个日历日内有效。</w:t>
      </w:r>
    </w:p>
    <w:p w14:paraId="46AC92E0">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rPr>
        <w:t>十</w:t>
      </w:r>
      <w:r>
        <w:rPr>
          <w:rFonts w:hint="eastAsia" w:ascii="宋体" w:hAnsi="宋体"/>
          <w:b/>
          <w:sz w:val="24"/>
          <w:szCs w:val="24"/>
          <w:highlight w:val="none"/>
          <w:lang w:val="en-US" w:eastAsia="zh-CN"/>
        </w:rPr>
        <w:t>一</w:t>
      </w:r>
      <w:r>
        <w:rPr>
          <w:rFonts w:hint="eastAsia" w:ascii="宋体" w:hAnsi="宋体"/>
          <w:b/>
          <w:sz w:val="24"/>
          <w:szCs w:val="24"/>
          <w:highlight w:val="none"/>
        </w:rPr>
        <w:t>、无效报价：</w:t>
      </w:r>
    </w:p>
    <w:p w14:paraId="59901270">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下列情况属于未能对询价文件做出实质性响应，作无效报价处理。</w:t>
      </w:r>
    </w:p>
    <w:p w14:paraId="663A8C1E">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1．报价文件没有报价单位授权代表签字和加盖公章。</w:t>
      </w:r>
    </w:p>
    <w:p w14:paraId="11362E89">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2．报价文件载明的询价项目完成期限超过询价文件规定的期限。</w:t>
      </w:r>
    </w:p>
    <w:p w14:paraId="46FD9E6A">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3．明显不符合技术规格、技术标准的要求。</w:t>
      </w:r>
    </w:p>
    <w:p w14:paraId="09D40B6D">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4．报价文件附有询价方不能接受的条件。</w:t>
      </w:r>
    </w:p>
    <w:p w14:paraId="016B405B">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5．不符合询价文件中规定的实质性要求。</w:t>
      </w:r>
    </w:p>
    <w:p w14:paraId="08165A27">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6．报价单位提供的资料被查证为虚假或伪造的。</w:t>
      </w:r>
    </w:p>
    <w:p w14:paraId="1146FBB3">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sz w:val="24"/>
          <w:szCs w:val="24"/>
          <w:highlight w:val="none"/>
        </w:rPr>
        <w:t>十</w:t>
      </w:r>
      <w:r>
        <w:rPr>
          <w:rFonts w:hint="eastAsia" w:ascii="宋体" w:hAnsi="宋体"/>
          <w:b/>
          <w:sz w:val="24"/>
          <w:szCs w:val="24"/>
          <w:highlight w:val="none"/>
          <w:lang w:val="en-US" w:eastAsia="zh-CN"/>
        </w:rPr>
        <w:t>二</w:t>
      </w:r>
      <w:r>
        <w:rPr>
          <w:rFonts w:hint="eastAsia" w:ascii="宋体" w:hAnsi="宋体"/>
          <w:b/>
          <w:sz w:val="24"/>
          <w:szCs w:val="24"/>
          <w:highlight w:val="none"/>
        </w:rPr>
        <w:t>、其他说明</w:t>
      </w:r>
    </w:p>
    <w:p w14:paraId="2921DCF4">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必须向询价人提供真实的资料，若</w:t>
      </w:r>
      <w:r>
        <w:rPr>
          <w:rFonts w:hint="eastAsia" w:ascii="宋体" w:hAnsi="宋体"/>
          <w:sz w:val="24"/>
          <w:szCs w:val="24"/>
          <w:highlight w:val="none"/>
          <w:lang w:eastAsia="zh-CN"/>
        </w:rPr>
        <w:t>供应商</w:t>
      </w:r>
      <w:r>
        <w:rPr>
          <w:rFonts w:hint="eastAsia" w:ascii="宋体" w:hAnsi="宋体"/>
          <w:sz w:val="24"/>
          <w:szCs w:val="24"/>
          <w:highlight w:val="none"/>
        </w:rPr>
        <w:t>所提供资料不真实，一经查证，即取消参与资格。</w:t>
      </w:r>
      <w:r>
        <w:rPr>
          <w:rFonts w:hint="eastAsia" w:ascii="宋体" w:hAnsi="宋体"/>
          <w:sz w:val="24"/>
          <w:szCs w:val="24"/>
          <w:highlight w:val="none"/>
          <w:lang w:eastAsia="zh-CN"/>
        </w:rPr>
        <w:t>供应商</w:t>
      </w:r>
      <w:r>
        <w:rPr>
          <w:rFonts w:hint="eastAsia" w:ascii="宋体" w:hAnsi="宋体"/>
          <w:sz w:val="24"/>
          <w:szCs w:val="24"/>
          <w:highlight w:val="none"/>
        </w:rPr>
        <w:t>必须按照询价文件和合同的规定履行义务，保质保量完成项目内容，不得将项目整体或分解后向他人转让。</w:t>
      </w:r>
    </w:p>
    <w:p w14:paraId="6869E2C7">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rPr>
        <w:t>2．询价文件、报价文件均为合同附件，具有同等法律效力，当合同内容与上述文件内容发生冲突时，以合同文本为准。</w:t>
      </w:r>
    </w:p>
    <w:p w14:paraId="37AB35CC">
      <w:pPr>
        <w:adjustRightInd w:val="0"/>
        <w:spacing w:line="460" w:lineRule="exact"/>
        <w:ind w:firstLine="480" w:firstLineChars="200"/>
        <w:contextualSpacing/>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．本询价文件的解释权在南京财经大学红山学院招投标工作小组。</w:t>
      </w:r>
    </w:p>
    <w:p w14:paraId="709AE0E6">
      <w:pPr>
        <w:adjustRightInd w:val="0"/>
        <w:spacing w:line="460" w:lineRule="exact"/>
        <w:ind w:firstLine="480" w:firstLineChars="200"/>
        <w:contextualSpacing/>
        <w:rPr>
          <w:rFonts w:hint="default" w:ascii="宋体" w:hAnsi="宋体" w:eastAsia="宋体"/>
          <w:b/>
          <w:bCs/>
          <w:sz w:val="24"/>
          <w:szCs w:val="24"/>
          <w:highlight w:val="none"/>
          <w:lang w:val="en-US" w:eastAsia="zh-CN"/>
        </w:rPr>
      </w:pPr>
      <w:r>
        <w:rPr>
          <w:rFonts w:hint="eastAsia" w:ascii="宋体" w:hAnsi="宋体"/>
          <w:b/>
          <w:bCs/>
          <w:sz w:val="24"/>
          <w:szCs w:val="24"/>
          <w:highlight w:val="none"/>
          <w:lang w:val="en-US" w:eastAsia="zh-CN"/>
        </w:rPr>
        <w:t>十三：联系方式：</w:t>
      </w:r>
    </w:p>
    <w:p w14:paraId="573993DB">
      <w:pPr>
        <w:adjustRightInd w:val="0"/>
        <w:spacing w:line="460" w:lineRule="exact"/>
        <w:ind w:firstLine="480" w:firstLineChars="200"/>
        <w:contextualSpacing/>
        <w:rPr>
          <w:rFonts w:hint="default" w:ascii="宋体" w:hAnsi="宋体" w:eastAsia="宋体"/>
          <w:b w:val="0"/>
          <w:bCs/>
          <w:sz w:val="24"/>
          <w:szCs w:val="24"/>
          <w:highlight w:val="none"/>
          <w:lang w:val="en-US" w:eastAsia="zh-CN"/>
        </w:rPr>
      </w:pPr>
      <w:r>
        <w:rPr>
          <w:rFonts w:hint="eastAsia" w:ascii="宋体" w:hAnsi="宋体"/>
          <w:b w:val="0"/>
          <w:bCs/>
          <w:sz w:val="24"/>
          <w:szCs w:val="24"/>
          <w:highlight w:val="none"/>
          <w:lang w:val="en-US" w:eastAsia="zh-CN"/>
        </w:rPr>
        <w:t>踏勘现场：李老师，13566075183</w:t>
      </w:r>
    </w:p>
    <w:p w14:paraId="76D340CB">
      <w:pPr>
        <w:adjustRightInd w:val="0"/>
        <w:spacing w:line="460" w:lineRule="exact"/>
        <w:ind w:firstLine="480" w:firstLineChars="200"/>
        <w:contextualSpacing/>
        <w:rPr>
          <w:rFonts w:hint="eastAsia" w:ascii="宋体" w:hAnsi="宋体"/>
          <w:b/>
          <w:sz w:val="24"/>
          <w:szCs w:val="24"/>
          <w:highlight w:val="none"/>
        </w:rPr>
      </w:pPr>
      <w:r>
        <w:rPr>
          <w:rFonts w:hint="eastAsia" w:ascii="宋体" w:hAnsi="宋体"/>
          <w:b w:val="0"/>
          <w:bCs/>
          <w:sz w:val="24"/>
          <w:szCs w:val="24"/>
          <w:highlight w:val="none"/>
          <w:lang w:val="en-US" w:eastAsia="zh-CN"/>
        </w:rPr>
        <w:t>商务</w:t>
      </w:r>
      <w:r>
        <w:rPr>
          <w:rFonts w:hint="eastAsia" w:ascii="宋体" w:hAnsi="宋体"/>
          <w:b w:val="0"/>
          <w:bCs/>
          <w:sz w:val="24"/>
          <w:szCs w:val="24"/>
          <w:highlight w:val="none"/>
        </w:rPr>
        <w:t>联系人：</w:t>
      </w:r>
      <w:r>
        <w:rPr>
          <w:rFonts w:hint="eastAsia" w:ascii="宋体" w:hAnsi="宋体"/>
          <w:b w:val="0"/>
          <w:bCs/>
          <w:sz w:val="24"/>
          <w:szCs w:val="24"/>
          <w:highlight w:val="none"/>
          <w:lang w:val="en-US" w:eastAsia="zh-CN"/>
        </w:rPr>
        <w:t>徐</w:t>
      </w:r>
      <w:r>
        <w:rPr>
          <w:rFonts w:hint="eastAsia" w:ascii="宋体" w:hAnsi="宋体"/>
          <w:b w:val="0"/>
          <w:bCs/>
          <w:sz w:val="24"/>
          <w:szCs w:val="24"/>
          <w:highlight w:val="none"/>
        </w:rPr>
        <w:t>老师，</w:t>
      </w:r>
      <w:r>
        <w:rPr>
          <w:rFonts w:hint="eastAsia" w:ascii="宋体" w:hAnsi="宋体"/>
          <w:b w:val="0"/>
          <w:bCs/>
          <w:sz w:val="24"/>
          <w:szCs w:val="24"/>
          <w:highlight w:val="none"/>
          <w:lang w:val="en-US" w:eastAsia="zh-CN"/>
        </w:rPr>
        <w:t>13913335859</w:t>
      </w:r>
      <w:r>
        <w:rPr>
          <w:rFonts w:hint="eastAsia" w:ascii="宋体" w:hAnsi="宋体"/>
          <w:b w:val="0"/>
          <w:bCs/>
          <w:sz w:val="24"/>
          <w:szCs w:val="24"/>
          <w:highlight w:val="none"/>
        </w:rPr>
        <w:t>。</w:t>
      </w:r>
    </w:p>
    <w:p w14:paraId="2C522AE2">
      <w:pPr>
        <w:tabs>
          <w:tab w:val="right" w:pos="9354"/>
        </w:tabs>
        <w:adjustRightInd w:val="0"/>
        <w:spacing w:line="460" w:lineRule="exact"/>
        <w:ind w:firstLine="420" w:firstLineChars="200"/>
        <w:contextualSpacing/>
        <w:rPr>
          <w:rFonts w:hint="eastAsia" w:ascii="宋体" w:hAnsi="宋体"/>
          <w:sz w:val="24"/>
          <w:szCs w:val="24"/>
          <w:highlight w:val="none"/>
        </w:rPr>
      </w:pPr>
      <w:r>
        <w:rPr>
          <w:rFonts w:hint="eastAsia" w:ascii="宋体" w:hAnsi="宋体"/>
          <w:sz w:val="21"/>
          <w:szCs w:val="21"/>
          <w:highlight w:val="none"/>
        </w:rPr>
        <w:t>附件</w:t>
      </w:r>
      <w:r>
        <w:rPr>
          <w:rFonts w:hint="eastAsia" w:ascii="宋体" w:hAnsi="宋体"/>
          <w:sz w:val="21"/>
          <w:szCs w:val="21"/>
          <w:highlight w:val="none"/>
          <w:lang w:val="en-US" w:eastAsia="zh-CN"/>
        </w:rPr>
        <w:t>1</w:t>
      </w:r>
      <w:r>
        <w:rPr>
          <w:rFonts w:hint="eastAsia" w:ascii="宋体" w:hAnsi="宋体"/>
          <w:sz w:val="21"/>
          <w:szCs w:val="21"/>
          <w:highlight w:val="none"/>
        </w:rPr>
        <w:t>：报价单</w:t>
      </w:r>
      <w:r>
        <w:rPr>
          <w:rFonts w:ascii="宋体" w:hAnsi="宋体"/>
          <w:sz w:val="24"/>
          <w:szCs w:val="24"/>
          <w:highlight w:val="none"/>
        </w:rPr>
        <w:tab/>
      </w:r>
    </w:p>
    <w:p w14:paraId="299F59BA">
      <w:pPr>
        <w:adjustRightInd w:val="0"/>
        <w:spacing w:line="460" w:lineRule="exact"/>
        <w:contextualSpacing/>
        <w:jc w:val="both"/>
        <w:rPr>
          <w:rFonts w:hint="eastAsia" w:ascii="宋体" w:hAnsi="宋体"/>
          <w:sz w:val="24"/>
          <w:szCs w:val="24"/>
          <w:highlight w:val="none"/>
        </w:rPr>
      </w:pPr>
    </w:p>
    <w:p w14:paraId="6F985B66">
      <w:pPr>
        <w:adjustRightInd w:val="0"/>
        <w:spacing w:line="460" w:lineRule="exact"/>
        <w:ind w:left="420" w:leftChars="200" w:firstLine="480" w:firstLineChars="200"/>
        <w:contextualSpacing/>
        <w:jc w:val="right"/>
        <w:rPr>
          <w:rFonts w:hint="eastAsia" w:ascii="宋体" w:hAnsi="宋体"/>
          <w:sz w:val="24"/>
          <w:szCs w:val="24"/>
          <w:highlight w:val="none"/>
        </w:rPr>
      </w:pPr>
      <w:r>
        <w:rPr>
          <w:rFonts w:hint="eastAsia" w:ascii="宋体" w:hAnsi="宋体"/>
          <w:sz w:val="24"/>
          <w:szCs w:val="24"/>
          <w:highlight w:val="none"/>
        </w:rPr>
        <w:t>南京财经大学红山学院</w:t>
      </w:r>
      <w:r>
        <w:rPr>
          <w:rFonts w:ascii="宋体" w:hAnsi="宋体"/>
          <w:sz w:val="24"/>
          <w:szCs w:val="24"/>
          <w:highlight w:val="none"/>
        </w:rPr>
        <w:t>招投标工作小组</w:t>
      </w:r>
    </w:p>
    <w:p w14:paraId="38ACF00B">
      <w:pPr>
        <w:adjustRightInd w:val="0"/>
        <w:spacing w:line="460" w:lineRule="exact"/>
        <w:ind w:left="420" w:leftChars="200" w:firstLine="480" w:firstLineChars="200"/>
        <w:contextualSpacing/>
        <w:jc w:val="right"/>
        <w:rPr>
          <w:rFonts w:hint="eastAsia" w:ascii="宋体" w:hAnsi="宋体"/>
          <w:sz w:val="24"/>
          <w:szCs w:val="24"/>
          <w:highlight w:val="none"/>
        </w:rPr>
      </w:pPr>
      <w:bookmarkStart w:id="0" w:name="_GoBack"/>
      <w:bookmarkEnd w:id="0"/>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w:t>
      </w:r>
    </w:p>
    <w:p w14:paraId="03971CE5">
      <w:pPr>
        <w:rPr>
          <w:rFonts w:hint="eastAsia" w:ascii="宋体" w:hAnsi="宋体"/>
          <w:sz w:val="24"/>
          <w:szCs w:val="24"/>
          <w:highlight w:val="none"/>
        </w:rPr>
        <w:sectPr>
          <w:headerReference r:id="rId3" w:type="default"/>
          <w:footerReference r:id="rId4" w:type="default"/>
          <w:footerReference r:id="rId5" w:type="even"/>
          <w:pgSz w:w="11906" w:h="16838"/>
          <w:pgMar w:top="1134" w:right="1418" w:bottom="1418" w:left="1134" w:header="851" w:footer="992" w:gutter="0"/>
          <w:pgNumType w:fmt="numberInDash"/>
          <w:cols w:space="425" w:num="1"/>
          <w:docGrid w:type="linesAndChars" w:linePitch="312" w:charSpace="0"/>
        </w:sectPr>
      </w:pPr>
    </w:p>
    <w:p w14:paraId="1A3A2243">
      <w:pPr>
        <w:tabs>
          <w:tab w:val="left" w:pos="368"/>
        </w:tabs>
        <w:spacing w:line="360" w:lineRule="auto"/>
        <w:jc w:val="left"/>
        <w:rPr>
          <w:rFonts w:hint="eastAsia" w:ascii="宋体" w:hAnsi="宋体" w:cs="宋体"/>
          <w:b/>
          <w:bCs/>
          <w:color w:val="auto"/>
          <w:sz w:val="21"/>
          <w:szCs w:val="21"/>
          <w:highlight w:val="none"/>
          <w:lang w:val="en-US" w:eastAsia="zh-CN"/>
        </w:rPr>
      </w:pPr>
      <w:r>
        <w:rPr>
          <w:rFonts w:hint="eastAsia" w:ascii="宋体" w:hAnsi="宋体"/>
          <w:sz w:val="21"/>
          <w:szCs w:val="21"/>
          <w:highlight w:val="none"/>
        </w:rPr>
        <w:t>附件</w:t>
      </w:r>
      <w:r>
        <w:rPr>
          <w:rFonts w:hint="eastAsia" w:ascii="宋体" w:hAnsi="宋体"/>
          <w:sz w:val="21"/>
          <w:szCs w:val="21"/>
          <w:highlight w:val="none"/>
          <w:lang w:val="en-US" w:eastAsia="zh-CN"/>
        </w:rPr>
        <w:t>1</w:t>
      </w:r>
      <w:r>
        <w:rPr>
          <w:rFonts w:hint="eastAsia" w:ascii="宋体" w:hAnsi="宋体"/>
          <w:sz w:val="21"/>
          <w:szCs w:val="21"/>
          <w:highlight w:val="none"/>
        </w:rPr>
        <w:t>：报价单</w:t>
      </w:r>
    </w:p>
    <w:p w14:paraId="71A47FAA">
      <w:pPr>
        <w:spacing w:line="360" w:lineRule="auto"/>
        <w:ind w:firstLine="880" w:firstLineChars="200"/>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南京财经大学红山学院教室窗帘报价单</w:t>
      </w:r>
    </w:p>
    <w:p w14:paraId="68A82291">
      <w:pPr>
        <w:spacing w:line="360" w:lineRule="auto"/>
        <w:ind w:firstLine="880" w:firstLineChars="200"/>
        <w:jc w:val="center"/>
        <w:rPr>
          <w:rFonts w:hint="eastAsia" w:ascii="宋体" w:hAnsi="宋体" w:cs="宋体"/>
          <w:b/>
          <w:bCs/>
          <w:color w:val="auto"/>
          <w:sz w:val="44"/>
          <w:szCs w:val="44"/>
          <w:highlight w:val="none"/>
          <w:lang w:val="en-US" w:eastAsia="zh-CN"/>
        </w:rPr>
      </w:pPr>
    </w:p>
    <w:p w14:paraId="26235967">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（盖章）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法定代表人（授权代表）签字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p>
    <w:p w14:paraId="7D545A3A">
      <w:pPr>
        <w:spacing w:line="360" w:lineRule="auto"/>
        <w:ind w:firstLine="240" w:firstLineChars="100"/>
        <w:rPr>
          <w:rFonts w:hint="eastAsia" w:ascii="宋体" w:hAnsi="宋体" w:cs="宋体"/>
          <w:color w:val="auto"/>
          <w:sz w:val="24"/>
          <w:szCs w:val="24"/>
          <w:highlight w:val="none"/>
          <w:u w:val="single"/>
        </w:rPr>
      </w:pPr>
    </w:p>
    <w:tbl>
      <w:tblPr>
        <w:tblStyle w:val="9"/>
        <w:tblW w:w="13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69"/>
        <w:gridCol w:w="1635"/>
        <w:gridCol w:w="4035"/>
        <w:gridCol w:w="1246"/>
        <w:gridCol w:w="1350"/>
        <w:gridCol w:w="1275"/>
        <w:gridCol w:w="2216"/>
      </w:tblGrid>
      <w:tr w14:paraId="3EAF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40" w:hRule="atLeast"/>
        </w:trPr>
        <w:tc>
          <w:tcPr>
            <w:tcW w:w="1369" w:type="dxa"/>
            <w:tcBorders>
              <w:tl2br w:val="nil"/>
              <w:tr2bl w:val="nil"/>
            </w:tcBorders>
            <w:shd w:val="clear" w:color="auto" w:fill="auto"/>
            <w:vAlign w:val="center"/>
          </w:tcPr>
          <w:p w14:paraId="3FC120DD">
            <w:pPr>
              <w:spacing w:line="480" w:lineRule="exact"/>
              <w:jc w:val="center"/>
              <w:rPr>
                <w:rFonts w:hint="eastAsia" w:ascii="宋体" w:hAnsi="宋体" w:eastAsia="宋体" w:cs="宋体"/>
                <w:i w:val="0"/>
                <w:color w:val="000000"/>
                <w:sz w:val="24"/>
                <w:szCs w:val="24"/>
                <w:highlight w:val="none"/>
                <w:u w:val="none"/>
              </w:rPr>
            </w:pPr>
            <w:r>
              <w:rPr>
                <w:rFonts w:hint="eastAsia" w:ascii="宋体" w:hAnsi="宋体" w:cs="宋体"/>
                <w:color w:val="auto"/>
                <w:highlight w:val="none"/>
              </w:rPr>
              <w:t>项目名称</w:t>
            </w:r>
          </w:p>
        </w:tc>
        <w:tc>
          <w:tcPr>
            <w:tcW w:w="1635" w:type="dxa"/>
            <w:tcBorders>
              <w:tl2br w:val="nil"/>
              <w:tr2bl w:val="nil"/>
            </w:tcBorders>
            <w:shd w:val="clear" w:color="auto" w:fill="auto"/>
            <w:vAlign w:val="center"/>
          </w:tcPr>
          <w:p w14:paraId="1A494D91">
            <w:pPr>
              <w:spacing w:line="480" w:lineRule="exact"/>
              <w:jc w:val="center"/>
              <w:rPr>
                <w:rFonts w:hint="eastAsia" w:ascii="宋体" w:hAnsi="宋体" w:eastAsia="宋体" w:cs="宋体"/>
                <w:i w:val="0"/>
                <w:color w:val="000000"/>
                <w:sz w:val="24"/>
                <w:szCs w:val="24"/>
                <w:highlight w:val="none"/>
                <w:u w:val="none"/>
              </w:rPr>
            </w:pPr>
            <w:r>
              <w:rPr>
                <w:rFonts w:hint="eastAsia" w:ascii="宋体" w:hAnsi="宋体" w:cs="宋体"/>
                <w:color w:val="auto"/>
                <w:highlight w:val="none"/>
                <w:lang w:val="en-US" w:eastAsia="zh-CN"/>
              </w:rPr>
              <w:t>窗户面积</w:t>
            </w:r>
          </w:p>
        </w:tc>
        <w:tc>
          <w:tcPr>
            <w:tcW w:w="4035" w:type="dxa"/>
            <w:tcBorders>
              <w:tl2br w:val="nil"/>
              <w:tr2bl w:val="nil"/>
            </w:tcBorders>
            <w:shd w:val="clear" w:color="auto" w:fill="auto"/>
            <w:vAlign w:val="center"/>
          </w:tcPr>
          <w:p w14:paraId="4B3948BD">
            <w:pPr>
              <w:spacing w:line="480" w:lineRule="exact"/>
              <w:jc w:val="center"/>
              <w:rPr>
                <w:rFonts w:hint="eastAsia" w:ascii="宋体" w:hAnsi="宋体" w:eastAsia="宋体" w:cs="宋体"/>
                <w:i w:val="0"/>
                <w:color w:val="000000"/>
                <w:sz w:val="24"/>
                <w:szCs w:val="24"/>
                <w:highlight w:val="none"/>
                <w:u w:val="none"/>
              </w:rPr>
            </w:pPr>
            <w:r>
              <w:rPr>
                <w:rFonts w:hint="eastAsia" w:ascii="宋体" w:hAnsi="宋体" w:cs="宋体"/>
                <w:color w:val="auto"/>
                <w:highlight w:val="none"/>
                <w:lang w:val="en-US" w:eastAsia="zh-CN"/>
              </w:rPr>
              <w:t>参数要求</w:t>
            </w:r>
          </w:p>
        </w:tc>
        <w:tc>
          <w:tcPr>
            <w:tcW w:w="1246" w:type="dxa"/>
            <w:tcBorders>
              <w:tl2br w:val="nil"/>
              <w:tr2bl w:val="nil"/>
            </w:tcBorders>
            <w:shd w:val="clear" w:color="auto" w:fill="auto"/>
            <w:vAlign w:val="center"/>
          </w:tcPr>
          <w:p w14:paraId="130239FD">
            <w:pPr>
              <w:spacing w:line="480" w:lineRule="exact"/>
              <w:jc w:val="center"/>
              <w:rPr>
                <w:rFonts w:hint="eastAsia" w:ascii="宋体" w:hAnsi="宋体" w:eastAsia="宋体" w:cs="宋体"/>
                <w:i w:val="0"/>
                <w:color w:val="000000"/>
                <w:sz w:val="24"/>
                <w:szCs w:val="24"/>
                <w:highlight w:val="none"/>
                <w:u w:val="none"/>
              </w:rPr>
            </w:pPr>
            <w:r>
              <w:rPr>
                <w:rFonts w:hint="eastAsia" w:ascii="宋体" w:hAnsi="宋体" w:cs="宋体"/>
                <w:color w:val="auto"/>
                <w:highlight w:val="none"/>
                <w:lang w:val="en-US" w:eastAsia="zh-CN"/>
              </w:rPr>
              <w:t>单价（元）</w:t>
            </w:r>
          </w:p>
        </w:tc>
        <w:tc>
          <w:tcPr>
            <w:tcW w:w="1350" w:type="dxa"/>
            <w:tcBorders>
              <w:tl2br w:val="nil"/>
              <w:tr2bl w:val="nil"/>
            </w:tcBorders>
            <w:shd w:val="clear" w:color="auto" w:fill="auto"/>
            <w:vAlign w:val="center"/>
          </w:tcPr>
          <w:p w14:paraId="57CBBD61">
            <w:pPr>
              <w:spacing w:line="480" w:lineRule="exact"/>
              <w:jc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总价（元）</w:t>
            </w:r>
          </w:p>
        </w:tc>
        <w:tc>
          <w:tcPr>
            <w:tcW w:w="1275" w:type="dxa"/>
            <w:tcBorders>
              <w:tl2br w:val="nil"/>
              <w:tr2bl w:val="nil"/>
            </w:tcBorders>
            <w:shd w:val="clear" w:color="auto" w:fill="auto"/>
            <w:vAlign w:val="center"/>
          </w:tcPr>
          <w:p w14:paraId="0B2956FC">
            <w:pPr>
              <w:spacing w:line="480" w:lineRule="exact"/>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工期</w:t>
            </w:r>
          </w:p>
        </w:tc>
        <w:tc>
          <w:tcPr>
            <w:tcW w:w="2216" w:type="dxa"/>
            <w:tcBorders>
              <w:tl2br w:val="nil"/>
              <w:tr2bl w:val="nil"/>
            </w:tcBorders>
            <w:shd w:val="clear" w:color="auto" w:fill="auto"/>
            <w:vAlign w:val="center"/>
          </w:tcPr>
          <w:p w14:paraId="734F14A0">
            <w:pPr>
              <w:spacing w:line="480" w:lineRule="exact"/>
              <w:jc w:val="center"/>
              <w:rPr>
                <w:rFonts w:hint="default" w:ascii="宋体" w:hAnsi="宋体" w:cs="宋体"/>
                <w:color w:val="auto"/>
                <w:highlight w:val="none"/>
                <w:lang w:val="en-US" w:eastAsia="zh-CN"/>
              </w:rPr>
            </w:pPr>
          </w:p>
        </w:tc>
      </w:tr>
      <w:tr w14:paraId="5A8D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742" w:hRule="atLeast"/>
        </w:trPr>
        <w:tc>
          <w:tcPr>
            <w:tcW w:w="1369" w:type="dxa"/>
            <w:tcBorders>
              <w:tl2br w:val="nil"/>
              <w:tr2bl w:val="nil"/>
            </w:tcBorders>
            <w:shd w:val="clear" w:color="auto" w:fill="auto"/>
            <w:vAlign w:val="center"/>
          </w:tcPr>
          <w:p w14:paraId="4DD9E7F3">
            <w:pPr>
              <w:spacing w:line="480" w:lineRule="exact"/>
              <w:jc w:val="center"/>
              <w:rPr>
                <w:rFonts w:hint="eastAsia" w:ascii="宋体" w:hAnsi="宋体" w:eastAsia="宋体" w:cs="宋体"/>
                <w:i w:val="0"/>
                <w:color w:val="000000"/>
                <w:sz w:val="24"/>
                <w:szCs w:val="24"/>
                <w:highlight w:val="none"/>
                <w:u w:val="none"/>
              </w:rPr>
            </w:pPr>
            <w:r>
              <w:rPr>
                <w:rFonts w:hint="eastAsia" w:ascii="宋体" w:hAnsi="宋体" w:cs="宋体"/>
                <w:color w:val="auto"/>
                <w:highlight w:val="none"/>
                <w:lang w:val="en-US" w:eastAsia="zh-CN"/>
              </w:rPr>
              <w:t>布帘</w:t>
            </w:r>
          </w:p>
        </w:tc>
        <w:tc>
          <w:tcPr>
            <w:tcW w:w="1635" w:type="dxa"/>
            <w:tcBorders>
              <w:tl2br w:val="nil"/>
              <w:tr2bl w:val="nil"/>
            </w:tcBorders>
            <w:shd w:val="clear" w:color="auto" w:fill="auto"/>
            <w:vAlign w:val="center"/>
          </w:tcPr>
          <w:p w14:paraId="50629A0D">
            <w:pPr>
              <w:spacing w:line="480" w:lineRule="exact"/>
              <w:jc w:val="center"/>
              <w:rPr>
                <w:rFonts w:hint="eastAsia" w:ascii="宋体" w:hAnsi="宋体" w:eastAsia="宋体" w:cs="宋体"/>
                <w:b w:val="0"/>
                <w:bCs/>
                <w:i w:val="0"/>
                <w:color w:val="000000"/>
                <w:sz w:val="24"/>
                <w:szCs w:val="24"/>
                <w:highlight w:val="none"/>
                <w:u w:val="none"/>
              </w:rPr>
            </w:pPr>
            <w:r>
              <w:rPr>
                <w:rFonts w:hint="eastAsia" w:ascii="宋体" w:hAnsi="宋体" w:cs="宋体"/>
                <w:color w:val="auto"/>
                <w:highlight w:val="none"/>
                <w:lang w:val="en-US" w:eastAsia="zh-CN"/>
              </w:rPr>
              <w:t>430.44㎡</w:t>
            </w:r>
          </w:p>
        </w:tc>
        <w:tc>
          <w:tcPr>
            <w:tcW w:w="4035" w:type="dxa"/>
            <w:tcBorders>
              <w:tl2br w:val="nil"/>
              <w:tr2bl w:val="nil"/>
            </w:tcBorders>
            <w:shd w:val="clear" w:color="auto" w:fill="auto"/>
            <w:vAlign w:val="top"/>
          </w:tcPr>
          <w:p w14:paraId="404E9862">
            <w:pPr>
              <w:numPr>
                <w:ilvl w:val="0"/>
                <w:numId w:val="0"/>
              </w:numPr>
              <w:spacing w:line="480" w:lineRule="exact"/>
              <w:ind w:left="0" w:leftChars="0" w:firstLine="0" w:firstLineChars="0"/>
              <w:jc w:val="left"/>
              <w:rPr>
                <w:rFonts w:hint="eastAsia" w:ascii="宋体" w:hAnsi="宋体" w:eastAsia="宋体" w:cs="宋体"/>
                <w:i w:val="0"/>
                <w:color w:val="000000"/>
                <w:sz w:val="24"/>
                <w:szCs w:val="24"/>
                <w:highlight w:val="none"/>
                <w:u w:val="none"/>
              </w:rPr>
            </w:pPr>
            <w:r>
              <w:rPr>
                <w:rFonts w:hint="eastAsia"/>
                <w:highlight w:val="none"/>
                <w:lang w:val="en-US" w:eastAsia="zh-CN"/>
              </w:rPr>
              <w:t>布料：双面尼材质</w:t>
            </w:r>
            <w:r>
              <w:rPr>
                <w:rFonts w:hint="eastAsia"/>
                <w:highlight w:val="none"/>
              </w:rPr>
              <w:t>；</w:t>
            </w:r>
            <w:r>
              <w:rPr>
                <w:rFonts w:hint="eastAsia" w:eastAsia="宋体"/>
                <w:highlight w:val="none"/>
              </w:rPr>
              <w:t>甲醛含量≤200克/kg；克重</w:t>
            </w:r>
            <w:r>
              <w:rPr>
                <w:rFonts w:hint="eastAsia" w:eastAsia="宋体"/>
                <w:highlight w:val="none"/>
                <w:lang w:val="en-US" w:eastAsia="zh-CN"/>
              </w:rPr>
              <w:t>≥</w:t>
            </w:r>
            <w:r>
              <w:rPr>
                <w:rFonts w:hint="eastAsia" w:eastAsia="宋体"/>
                <w:highlight w:val="none"/>
              </w:rPr>
              <w:t>950</w:t>
            </w:r>
            <w:r>
              <w:rPr>
                <w:rFonts w:hint="eastAsia" w:eastAsia="宋体"/>
                <w:highlight w:val="none"/>
                <w:lang w:val="en-US" w:eastAsia="zh-CN"/>
              </w:rPr>
              <w:t>g</w:t>
            </w:r>
            <w:r>
              <w:rPr>
                <w:rFonts w:hint="eastAsia" w:eastAsia="宋体"/>
                <w:highlight w:val="none"/>
              </w:rPr>
              <w:t>/</w:t>
            </w:r>
            <w:r>
              <w:rPr>
                <w:rFonts w:hint="eastAsia"/>
                <w:highlight w:val="none"/>
                <w:lang w:val="en-US" w:eastAsia="zh-CN"/>
              </w:rPr>
              <w:t>m</w:t>
            </w:r>
            <w:r>
              <w:rPr>
                <w:rFonts w:hint="eastAsia"/>
                <w:highlight w:val="none"/>
              </w:rPr>
              <w:t>；达到B2级阻燃燃烧性能</w:t>
            </w:r>
            <w:r>
              <w:rPr>
                <w:rFonts w:hint="eastAsia"/>
                <w:highlight w:val="none"/>
                <w:lang w:eastAsia="zh-CN"/>
              </w:rPr>
              <w:t>；</w:t>
            </w:r>
            <w:r>
              <w:rPr>
                <w:rFonts w:hint="eastAsia"/>
                <w:highlight w:val="none"/>
              </w:rPr>
              <w:t>耐光色牢度≥4；ph值4.0-9.0</w:t>
            </w:r>
            <w:r>
              <w:rPr>
                <w:rFonts w:hint="eastAsia"/>
                <w:highlight w:val="none"/>
                <w:lang w:eastAsia="zh-CN"/>
              </w:rPr>
              <w:t>。</w:t>
            </w:r>
          </w:p>
        </w:tc>
        <w:tc>
          <w:tcPr>
            <w:tcW w:w="1246" w:type="dxa"/>
            <w:tcBorders>
              <w:tl2br w:val="nil"/>
              <w:tr2bl w:val="nil"/>
            </w:tcBorders>
            <w:shd w:val="clear" w:color="auto" w:fill="auto"/>
            <w:vAlign w:val="center"/>
          </w:tcPr>
          <w:p w14:paraId="2D3B9F70">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p>
        </w:tc>
        <w:tc>
          <w:tcPr>
            <w:tcW w:w="1350" w:type="dxa"/>
            <w:tcBorders>
              <w:tl2br w:val="nil"/>
              <w:tr2bl w:val="nil"/>
            </w:tcBorders>
            <w:shd w:val="clear" w:color="auto" w:fill="auto"/>
            <w:vAlign w:val="center"/>
          </w:tcPr>
          <w:p w14:paraId="1A0A108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275" w:type="dxa"/>
            <w:tcBorders>
              <w:tl2br w:val="nil"/>
              <w:tr2bl w:val="nil"/>
            </w:tcBorders>
            <w:shd w:val="clear" w:color="auto" w:fill="auto"/>
            <w:vAlign w:val="center"/>
          </w:tcPr>
          <w:p w14:paraId="0C55FFF6">
            <w:pPr>
              <w:jc w:val="center"/>
              <w:rPr>
                <w:rFonts w:hint="eastAsia" w:ascii="宋体" w:hAnsi="宋体" w:eastAsia="宋体" w:cs="宋体"/>
                <w:i w:val="0"/>
                <w:color w:val="000000"/>
                <w:sz w:val="24"/>
                <w:szCs w:val="24"/>
                <w:highlight w:val="none"/>
                <w:u w:val="none"/>
              </w:rPr>
            </w:pPr>
          </w:p>
        </w:tc>
        <w:tc>
          <w:tcPr>
            <w:tcW w:w="2216" w:type="dxa"/>
            <w:tcBorders>
              <w:tl2br w:val="nil"/>
              <w:tr2bl w:val="nil"/>
            </w:tcBorders>
            <w:shd w:val="clear" w:color="auto" w:fill="auto"/>
            <w:vAlign w:val="center"/>
          </w:tcPr>
          <w:p w14:paraId="43C34C0A">
            <w:pPr>
              <w:keepNext w:val="0"/>
              <w:keepLines w:val="0"/>
              <w:widowControl/>
              <w:suppressLineNumbers w:val="0"/>
              <w:jc w:val="center"/>
              <w:textAlignment w:val="center"/>
              <w:rPr>
                <w:rFonts w:hint="default" w:ascii="宋体" w:hAnsi="宋体" w:eastAsia="宋体" w:cs="宋体"/>
                <w:color w:val="FF0000"/>
                <w:highlight w:val="none"/>
                <w:lang w:val="en-US" w:eastAsia="zh-CN"/>
              </w:rPr>
            </w:pPr>
            <w:r>
              <w:rPr>
                <w:highlight w:val="none"/>
              </w:rPr>
              <w:drawing>
                <wp:inline distT="0" distB="0" distL="114300" distR="114300">
                  <wp:extent cx="1030605" cy="1172210"/>
                  <wp:effectExtent l="0" t="0" r="1714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30605" cy="1172210"/>
                          </a:xfrm>
                          <a:prstGeom prst="rect">
                            <a:avLst/>
                          </a:prstGeom>
                          <a:noFill/>
                          <a:ln>
                            <a:noFill/>
                          </a:ln>
                        </pic:spPr>
                      </pic:pic>
                    </a:graphicData>
                  </a:graphic>
                </wp:inline>
              </w:drawing>
            </w:r>
          </w:p>
        </w:tc>
      </w:tr>
      <w:tr w14:paraId="1318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37" w:hRule="atLeast"/>
        </w:trPr>
        <w:tc>
          <w:tcPr>
            <w:tcW w:w="13126" w:type="dxa"/>
            <w:gridSpan w:val="7"/>
            <w:tcBorders>
              <w:tl2br w:val="nil"/>
              <w:tr2bl w:val="nil"/>
            </w:tcBorders>
            <w:shd w:val="clear" w:color="auto" w:fill="auto"/>
            <w:vAlign w:val="center"/>
          </w:tcPr>
          <w:p w14:paraId="53F8FF58">
            <w:pPr>
              <w:keepNext w:val="0"/>
              <w:keepLines w:val="0"/>
              <w:widowControl/>
              <w:suppressLineNumbers w:val="0"/>
              <w:jc w:val="center"/>
              <w:textAlignment w:val="center"/>
              <w:rPr>
                <w:rFonts w:hint="eastAsia" w:eastAsia="宋体"/>
                <w:highlight w:val="none"/>
                <w:lang w:val="en-US" w:eastAsia="zh-CN"/>
              </w:rPr>
            </w:pPr>
            <w:r>
              <w:rPr>
                <w:rFonts w:hint="eastAsia"/>
                <w:highlight w:val="none"/>
                <w:lang w:val="en-US" w:eastAsia="zh-CN"/>
              </w:rPr>
              <w:t>总计（大写）：</w:t>
            </w:r>
          </w:p>
        </w:tc>
      </w:tr>
      <w:tr w14:paraId="50BA8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742" w:hRule="atLeast"/>
        </w:trPr>
        <w:tc>
          <w:tcPr>
            <w:tcW w:w="13126" w:type="dxa"/>
            <w:gridSpan w:val="7"/>
            <w:tcBorders>
              <w:tl2br w:val="nil"/>
              <w:tr2bl w:val="nil"/>
            </w:tcBorders>
            <w:shd w:val="clear" w:color="auto" w:fill="auto"/>
            <w:vAlign w:val="center"/>
          </w:tcPr>
          <w:p w14:paraId="03489664">
            <w:pPr>
              <w:adjustRightInd w:val="0"/>
              <w:snapToGrid w:val="0"/>
              <w:spacing w:line="30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备注：</w:t>
            </w:r>
          </w:p>
          <w:p w14:paraId="722D4611">
            <w:pPr>
              <w:adjustRightInd w:val="0"/>
              <w:snapToGrid w:val="0"/>
              <w:spacing w:line="30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轨道安装，</w:t>
            </w:r>
            <w:r>
              <w:rPr>
                <w:rFonts w:hint="eastAsia" w:ascii="宋体" w:hAnsi="宋体" w:eastAsia="宋体" w:cs="宋体"/>
                <w:color w:val="auto"/>
                <w:sz w:val="21"/>
                <w:szCs w:val="21"/>
                <w:highlight w:val="none"/>
                <w:lang w:val="en-US" w:eastAsia="zh-CN"/>
              </w:rPr>
              <w:t>铝合金材质，宽≥28㎜、高≥25㎜、壁厚≥1.2mm</w:t>
            </w:r>
            <w:r>
              <w:rPr>
                <w:rFonts w:hint="eastAsia" w:ascii="宋体" w:hAnsi="宋体" w:cs="宋体"/>
                <w:color w:val="auto"/>
                <w:sz w:val="21"/>
                <w:szCs w:val="21"/>
                <w:highlight w:val="none"/>
                <w:lang w:val="en-US" w:eastAsia="zh-CN"/>
              </w:rPr>
              <w:t>；</w:t>
            </w:r>
          </w:p>
          <w:p w14:paraId="0C74E264">
            <w:pPr>
              <w:adjustRightInd w:val="0"/>
              <w:snapToGrid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布帘褶皱比为1：2（不计折边），顶部卷边双层≥8cm，底部卷边双层≥8cm，接缝卷边双层≥8cm，左右卷边各≥3cm，制作工艺精细，缝纫线路笔直，有纺布带采用10CM宽的布带，挂钩采用塑料可调节挂钩，遮光帘须在锅炉内进行高温杀菌及真空定型处理，经过高温整烫定型后，遮光帘须达到自然波浪、皱折挺括、间距均匀、垂坠美观的效果；每幅窗帘要缝制扎带一条所有窗帘布料必须褶皱定型热处理，并经过预缩水处理；</w:t>
            </w:r>
          </w:p>
          <w:p w14:paraId="1E5172C6">
            <w:pPr>
              <w:adjustRightInd w:val="0"/>
              <w:snapToGrid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.单价包含全部材料及辅料、人工、税点、运费、安装、</w:t>
            </w:r>
            <w:r>
              <w:rPr>
                <w:rFonts w:hint="eastAsia" w:ascii="宋体" w:hAnsi="宋体" w:eastAsia="宋体" w:cs="宋体"/>
                <w:b/>
                <w:bCs/>
                <w:color w:val="auto"/>
                <w:sz w:val="21"/>
                <w:szCs w:val="21"/>
                <w:highlight w:val="none"/>
                <w:lang w:val="en-US" w:eastAsia="zh-CN"/>
              </w:rPr>
              <w:t>褶皱比例</w:t>
            </w:r>
            <w:r>
              <w:rPr>
                <w:rFonts w:hint="eastAsia" w:ascii="宋体" w:hAnsi="宋体" w:eastAsia="宋体" w:cs="宋体"/>
                <w:color w:val="auto"/>
                <w:sz w:val="21"/>
                <w:szCs w:val="21"/>
                <w:highlight w:val="none"/>
                <w:lang w:val="en-US" w:eastAsia="zh-CN"/>
              </w:rPr>
              <w:t>等所有费用；</w:t>
            </w:r>
          </w:p>
          <w:p w14:paraId="374A7C6B">
            <w:pPr>
              <w:keepNext w:val="0"/>
              <w:keepLines w:val="0"/>
              <w:widowControl/>
              <w:suppressLineNumbers w:val="0"/>
              <w:ind w:firstLine="420" w:firstLineChars="200"/>
              <w:jc w:val="both"/>
              <w:textAlignment w:val="center"/>
              <w:rPr>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.免费质保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tc>
      </w:tr>
    </w:tbl>
    <w:p w14:paraId="044AD022">
      <w:pPr>
        <w:rPr>
          <w:rFonts w:hint="eastAsia" w:ascii="宋体" w:hAnsi="宋体"/>
          <w:szCs w:val="21"/>
          <w:highlight w:val="none"/>
        </w:rPr>
      </w:pPr>
    </w:p>
    <w:sectPr>
      <w:pgSz w:w="16838" w:h="11906" w:orient="landscape"/>
      <w:pgMar w:top="1134" w:right="1134"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349567"/>
    </w:sdtPr>
    <w:sdtContent>
      <w:p w14:paraId="73427E22">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4BEBB2E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0E19">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65F4D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719F">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76458"/>
    <w:multiLevelType w:val="singleLevel"/>
    <w:tmpl w:val="97776458"/>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8736F4"/>
    <w:rsid w:val="00004B7D"/>
    <w:rsid w:val="0004638D"/>
    <w:rsid w:val="00046973"/>
    <w:rsid w:val="00055749"/>
    <w:rsid w:val="000747E9"/>
    <w:rsid w:val="000814BF"/>
    <w:rsid w:val="00083F72"/>
    <w:rsid w:val="00084C45"/>
    <w:rsid w:val="00087252"/>
    <w:rsid w:val="00090AB7"/>
    <w:rsid w:val="000B7584"/>
    <w:rsid w:val="000C4BAD"/>
    <w:rsid w:val="000E22D0"/>
    <w:rsid w:val="000E5AE2"/>
    <w:rsid w:val="000F1E8E"/>
    <w:rsid w:val="0010718B"/>
    <w:rsid w:val="00121298"/>
    <w:rsid w:val="001554BF"/>
    <w:rsid w:val="00172050"/>
    <w:rsid w:val="0017704A"/>
    <w:rsid w:val="001A10C5"/>
    <w:rsid w:val="001B7940"/>
    <w:rsid w:val="001D56BB"/>
    <w:rsid w:val="002434A7"/>
    <w:rsid w:val="00245E80"/>
    <w:rsid w:val="002763AE"/>
    <w:rsid w:val="002C19D5"/>
    <w:rsid w:val="002C573D"/>
    <w:rsid w:val="002E40BC"/>
    <w:rsid w:val="002E7BAA"/>
    <w:rsid w:val="002F19D8"/>
    <w:rsid w:val="002F2A85"/>
    <w:rsid w:val="002F6A58"/>
    <w:rsid w:val="003231A0"/>
    <w:rsid w:val="00343F79"/>
    <w:rsid w:val="0034704C"/>
    <w:rsid w:val="00380780"/>
    <w:rsid w:val="003A642B"/>
    <w:rsid w:val="003B0CF1"/>
    <w:rsid w:val="003C2D8F"/>
    <w:rsid w:val="004300B6"/>
    <w:rsid w:val="0043479C"/>
    <w:rsid w:val="004A04D9"/>
    <w:rsid w:val="004A65D8"/>
    <w:rsid w:val="004C3A6D"/>
    <w:rsid w:val="004C4135"/>
    <w:rsid w:val="004D446B"/>
    <w:rsid w:val="004E34DD"/>
    <w:rsid w:val="004F5435"/>
    <w:rsid w:val="00514A54"/>
    <w:rsid w:val="00553E9C"/>
    <w:rsid w:val="005643A0"/>
    <w:rsid w:val="0056702C"/>
    <w:rsid w:val="005768C1"/>
    <w:rsid w:val="00584510"/>
    <w:rsid w:val="005939E3"/>
    <w:rsid w:val="005A7211"/>
    <w:rsid w:val="005C356D"/>
    <w:rsid w:val="005C4B83"/>
    <w:rsid w:val="005D410C"/>
    <w:rsid w:val="00607D37"/>
    <w:rsid w:val="0063280F"/>
    <w:rsid w:val="00650EE4"/>
    <w:rsid w:val="00673362"/>
    <w:rsid w:val="006A0FE8"/>
    <w:rsid w:val="006C4FD7"/>
    <w:rsid w:val="006D724B"/>
    <w:rsid w:val="006E4D84"/>
    <w:rsid w:val="006E6EFD"/>
    <w:rsid w:val="007028AE"/>
    <w:rsid w:val="00712B9D"/>
    <w:rsid w:val="00731688"/>
    <w:rsid w:val="007322C7"/>
    <w:rsid w:val="007413D5"/>
    <w:rsid w:val="007466BE"/>
    <w:rsid w:val="007631B6"/>
    <w:rsid w:val="007759A7"/>
    <w:rsid w:val="007B043C"/>
    <w:rsid w:val="007B2F7D"/>
    <w:rsid w:val="007C3804"/>
    <w:rsid w:val="007C5D43"/>
    <w:rsid w:val="007D6053"/>
    <w:rsid w:val="007E5D06"/>
    <w:rsid w:val="00811A72"/>
    <w:rsid w:val="00825235"/>
    <w:rsid w:val="00833901"/>
    <w:rsid w:val="00852459"/>
    <w:rsid w:val="00854F9A"/>
    <w:rsid w:val="00867EF3"/>
    <w:rsid w:val="008736F4"/>
    <w:rsid w:val="00886303"/>
    <w:rsid w:val="00892DA3"/>
    <w:rsid w:val="008A5BFD"/>
    <w:rsid w:val="008D3D27"/>
    <w:rsid w:val="00910DAA"/>
    <w:rsid w:val="00914BFB"/>
    <w:rsid w:val="00917202"/>
    <w:rsid w:val="00956CE0"/>
    <w:rsid w:val="00963C06"/>
    <w:rsid w:val="009672D6"/>
    <w:rsid w:val="009B5CEC"/>
    <w:rsid w:val="009C0080"/>
    <w:rsid w:val="009C4956"/>
    <w:rsid w:val="009D4858"/>
    <w:rsid w:val="009E56F4"/>
    <w:rsid w:val="00A144DB"/>
    <w:rsid w:val="00A25B21"/>
    <w:rsid w:val="00A43886"/>
    <w:rsid w:val="00A4471A"/>
    <w:rsid w:val="00A477FB"/>
    <w:rsid w:val="00A66B2F"/>
    <w:rsid w:val="00A70A94"/>
    <w:rsid w:val="00A747DD"/>
    <w:rsid w:val="00A80C5E"/>
    <w:rsid w:val="00A87485"/>
    <w:rsid w:val="00AD1E38"/>
    <w:rsid w:val="00AF39B7"/>
    <w:rsid w:val="00B04828"/>
    <w:rsid w:val="00B23F02"/>
    <w:rsid w:val="00B32B33"/>
    <w:rsid w:val="00B3345C"/>
    <w:rsid w:val="00B603CC"/>
    <w:rsid w:val="00B6208A"/>
    <w:rsid w:val="00B81B33"/>
    <w:rsid w:val="00B9075F"/>
    <w:rsid w:val="00B92A37"/>
    <w:rsid w:val="00BD6A44"/>
    <w:rsid w:val="00BE171B"/>
    <w:rsid w:val="00C0710C"/>
    <w:rsid w:val="00C12956"/>
    <w:rsid w:val="00C35F86"/>
    <w:rsid w:val="00C7326F"/>
    <w:rsid w:val="00C8129A"/>
    <w:rsid w:val="00C83C11"/>
    <w:rsid w:val="00C929A2"/>
    <w:rsid w:val="00CA7367"/>
    <w:rsid w:val="00CC04AE"/>
    <w:rsid w:val="00CD2912"/>
    <w:rsid w:val="00CE08EB"/>
    <w:rsid w:val="00CE3069"/>
    <w:rsid w:val="00D057E8"/>
    <w:rsid w:val="00D12CBF"/>
    <w:rsid w:val="00D20D6F"/>
    <w:rsid w:val="00D33820"/>
    <w:rsid w:val="00D35924"/>
    <w:rsid w:val="00D64963"/>
    <w:rsid w:val="00D73241"/>
    <w:rsid w:val="00D74D2A"/>
    <w:rsid w:val="00D74DCD"/>
    <w:rsid w:val="00D90502"/>
    <w:rsid w:val="00DB1ABC"/>
    <w:rsid w:val="00DB1E16"/>
    <w:rsid w:val="00DC4A5A"/>
    <w:rsid w:val="00DC70EA"/>
    <w:rsid w:val="00DE57A4"/>
    <w:rsid w:val="00E2185B"/>
    <w:rsid w:val="00E266CB"/>
    <w:rsid w:val="00E54002"/>
    <w:rsid w:val="00E5428F"/>
    <w:rsid w:val="00E57102"/>
    <w:rsid w:val="00E675F2"/>
    <w:rsid w:val="00EE4BF4"/>
    <w:rsid w:val="00F32D80"/>
    <w:rsid w:val="00F443C1"/>
    <w:rsid w:val="00F45771"/>
    <w:rsid w:val="00F46FEB"/>
    <w:rsid w:val="00F57FF1"/>
    <w:rsid w:val="00F61FC2"/>
    <w:rsid w:val="00F7258E"/>
    <w:rsid w:val="00F74A2E"/>
    <w:rsid w:val="00FB755C"/>
    <w:rsid w:val="00FF7DFF"/>
    <w:rsid w:val="021201B8"/>
    <w:rsid w:val="03B36AD5"/>
    <w:rsid w:val="04A51C84"/>
    <w:rsid w:val="04A652D8"/>
    <w:rsid w:val="05FF5C9C"/>
    <w:rsid w:val="06EE5AAF"/>
    <w:rsid w:val="074D6095"/>
    <w:rsid w:val="07DF28CF"/>
    <w:rsid w:val="07F04F21"/>
    <w:rsid w:val="081A011B"/>
    <w:rsid w:val="08D73166"/>
    <w:rsid w:val="08E03C5D"/>
    <w:rsid w:val="0A8B6976"/>
    <w:rsid w:val="0AFA19DE"/>
    <w:rsid w:val="0B097350"/>
    <w:rsid w:val="0B7C2511"/>
    <w:rsid w:val="0D8E229F"/>
    <w:rsid w:val="0DD40B31"/>
    <w:rsid w:val="0E855270"/>
    <w:rsid w:val="0E8D1DCC"/>
    <w:rsid w:val="0E8E4AF3"/>
    <w:rsid w:val="0F704C0B"/>
    <w:rsid w:val="1109547E"/>
    <w:rsid w:val="11DC7E46"/>
    <w:rsid w:val="12342966"/>
    <w:rsid w:val="139A33B8"/>
    <w:rsid w:val="13A071BA"/>
    <w:rsid w:val="13DB5FAF"/>
    <w:rsid w:val="14946372"/>
    <w:rsid w:val="15334E3B"/>
    <w:rsid w:val="16535AFD"/>
    <w:rsid w:val="18500A9F"/>
    <w:rsid w:val="186E6A9B"/>
    <w:rsid w:val="19373127"/>
    <w:rsid w:val="1AE269B9"/>
    <w:rsid w:val="1C38155C"/>
    <w:rsid w:val="1C48195B"/>
    <w:rsid w:val="1D9B3B53"/>
    <w:rsid w:val="1DB97C04"/>
    <w:rsid w:val="1E25518E"/>
    <w:rsid w:val="1EE7263F"/>
    <w:rsid w:val="1EF0358A"/>
    <w:rsid w:val="1F0A057B"/>
    <w:rsid w:val="1F5D0D4B"/>
    <w:rsid w:val="1F996A51"/>
    <w:rsid w:val="1FD256A6"/>
    <w:rsid w:val="210C0205"/>
    <w:rsid w:val="21B4397B"/>
    <w:rsid w:val="21E05BB7"/>
    <w:rsid w:val="22925180"/>
    <w:rsid w:val="22B113D9"/>
    <w:rsid w:val="23B92F18"/>
    <w:rsid w:val="24331092"/>
    <w:rsid w:val="249C386F"/>
    <w:rsid w:val="26760C10"/>
    <w:rsid w:val="27064A5E"/>
    <w:rsid w:val="278F7D08"/>
    <w:rsid w:val="27F76AEA"/>
    <w:rsid w:val="28710CD8"/>
    <w:rsid w:val="29E079E4"/>
    <w:rsid w:val="29FF133B"/>
    <w:rsid w:val="2ABA75C7"/>
    <w:rsid w:val="2AC456E5"/>
    <w:rsid w:val="2C7033C5"/>
    <w:rsid w:val="2C7E5D2E"/>
    <w:rsid w:val="2CED011D"/>
    <w:rsid w:val="2D6F0C8F"/>
    <w:rsid w:val="2E8507C2"/>
    <w:rsid w:val="2F6759D6"/>
    <w:rsid w:val="2FB7480B"/>
    <w:rsid w:val="308623F2"/>
    <w:rsid w:val="30E127E2"/>
    <w:rsid w:val="31BF2657"/>
    <w:rsid w:val="31CC012B"/>
    <w:rsid w:val="31F44517"/>
    <w:rsid w:val="32452A38"/>
    <w:rsid w:val="3346761E"/>
    <w:rsid w:val="33F83156"/>
    <w:rsid w:val="343A520B"/>
    <w:rsid w:val="344C3054"/>
    <w:rsid w:val="34694198"/>
    <w:rsid w:val="34AB49C0"/>
    <w:rsid w:val="34DB4294"/>
    <w:rsid w:val="36D44917"/>
    <w:rsid w:val="379832B4"/>
    <w:rsid w:val="38206F62"/>
    <w:rsid w:val="38DE2A71"/>
    <w:rsid w:val="390417AA"/>
    <w:rsid w:val="39E60BE9"/>
    <w:rsid w:val="3A8F2568"/>
    <w:rsid w:val="3C411EA1"/>
    <w:rsid w:val="3CB346BC"/>
    <w:rsid w:val="3CB714FE"/>
    <w:rsid w:val="3D8928C4"/>
    <w:rsid w:val="3E164465"/>
    <w:rsid w:val="3E656516"/>
    <w:rsid w:val="3EAA2A50"/>
    <w:rsid w:val="3EC24F75"/>
    <w:rsid w:val="3F3E6566"/>
    <w:rsid w:val="3F6D52FF"/>
    <w:rsid w:val="3F89318B"/>
    <w:rsid w:val="403B7BB2"/>
    <w:rsid w:val="405F1A4D"/>
    <w:rsid w:val="40AD6F5D"/>
    <w:rsid w:val="40ED4785"/>
    <w:rsid w:val="41BE0485"/>
    <w:rsid w:val="41D725D7"/>
    <w:rsid w:val="41F772BD"/>
    <w:rsid w:val="4213399F"/>
    <w:rsid w:val="42272207"/>
    <w:rsid w:val="42943559"/>
    <w:rsid w:val="43396A11"/>
    <w:rsid w:val="43FF6AAF"/>
    <w:rsid w:val="442B0A4F"/>
    <w:rsid w:val="449042CE"/>
    <w:rsid w:val="44C902B4"/>
    <w:rsid w:val="46A7120C"/>
    <w:rsid w:val="46AE6B6B"/>
    <w:rsid w:val="47B6176B"/>
    <w:rsid w:val="48094E0E"/>
    <w:rsid w:val="48755D37"/>
    <w:rsid w:val="4A0814E8"/>
    <w:rsid w:val="4AEC732A"/>
    <w:rsid w:val="4B6A3310"/>
    <w:rsid w:val="4B720F18"/>
    <w:rsid w:val="4C042EA6"/>
    <w:rsid w:val="4C754F2F"/>
    <w:rsid w:val="4CF12794"/>
    <w:rsid w:val="4D1130CF"/>
    <w:rsid w:val="4E7C7D9A"/>
    <w:rsid w:val="4F491A25"/>
    <w:rsid w:val="4FE0796B"/>
    <w:rsid w:val="4FEA1EC5"/>
    <w:rsid w:val="50A20DD5"/>
    <w:rsid w:val="51657A76"/>
    <w:rsid w:val="51953CE6"/>
    <w:rsid w:val="51F20B76"/>
    <w:rsid w:val="52562025"/>
    <w:rsid w:val="52587826"/>
    <w:rsid w:val="52947B56"/>
    <w:rsid w:val="52F33CB2"/>
    <w:rsid w:val="53F047C3"/>
    <w:rsid w:val="54161F01"/>
    <w:rsid w:val="551443BF"/>
    <w:rsid w:val="55527774"/>
    <w:rsid w:val="55E52FFD"/>
    <w:rsid w:val="56311CCB"/>
    <w:rsid w:val="564057BF"/>
    <w:rsid w:val="56B77AE3"/>
    <w:rsid w:val="579C74CC"/>
    <w:rsid w:val="57F20CAD"/>
    <w:rsid w:val="57F624FC"/>
    <w:rsid w:val="584C39B2"/>
    <w:rsid w:val="58562CA1"/>
    <w:rsid w:val="585A555B"/>
    <w:rsid w:val="58F6424D"/>
    <w:rsid w:val="592276CB"/>
    <w:rsid w:val="598941ED"/>
    <w:rsid w:val="5BDA7E85"/>
    <w:rsid w:val="5C616CC6"/>
    <w:rsid w:val="5CA819E4"/>
    <w:rsid w:val="5CB31AD1"/>
    <w:rsid w:val="5E2D2BED"/>
    <w:rsid w:val="5F43173A"/>
    <w:rsid w:val="5F704BDA"/>
    <w:rsid w:val="5FBE1A41"/>
    <w:rsid w:val="603E2564"/>
    <w:rsid w:val="60795A64"/>
    <w:rsid w:val="614056A4"/>
    <w:rsid w:val="61837B9E"/>
    <w:rsid w:val="62043EE3"/>
    <w:rsid w:val="63484458"/>
    <w:rsid w:val="639A3E06"/>
    <w:rsid w:val="63BF55CF"/>
    <w:rsid w:val="646603B6"/>
    <w:rsid w:val="64671AF4"/>
    <w:rsid w:val="64773E6A"/>
    <w:rsid w:val="647E5C74"/>
    <w:rsid w:val="647E5E3F"/>
    <w:rsid w:val="65BA466D"/>
    <w:rsid w:val="668D41A5"/>
    <w:rsid w:val="6726017E"/>
    <w:rsid w:val="676120C3"/>
    <w:rsid w:val="6A62528C"/>
    <w:rsid w:val="6A8F3C50"/>
    <w:rsid w:val="6C27671D"/>
    <w:rsid w:val="6CC55A98"/>
    <w:rsid w:val="6CEA1364"/>
    <w:rsid w:val="6E6F4D7F"/>
    <w:rsid w:val="6E910BE1"/>
    <w:rsid w:val="6F5B7A04"/>
    <w:rsid w:val="714E108C"/>
    <w:rsid w:val="71B72140"/>
    <w:rsid w:val="71E30716"/>
    <w:rsid w:val="734E4899"/>
    <w:rsid w:val="73814595"/>
    <w:rsid w:val="755376C9"/>
    <w:rsid w:val="75973449"/>
    <w:rsid w:val="75E17A57"/>
    <w:rsid w:val="772552B6"/>
    <w:rsid w:val="7752100B"/>
    <w:rsid w:val="78BE62B2"/>
    <w:rsid w:val="793239D7"/>
    <w:rsid w:val="7AF17CBD"/>
    <w:rsid w:val="7B737B3E"/>
    <w:rsid w:val="7BED1CE9"/>
    <w:rsid w:val="7C786F6D"/>
    <w:rsid w:val="7C9D432B"/>
    <w:rsid w:val="7CD23749"/>
    <w:rsid w:val="7D747A34"/>
    <w:rsid w:val="7E576C1E"/>
    <w:rsid w:val="7EDF429E"/>
    <w:rsid w:val="7EED3D45"/>
    <w:rsid w:val="7F946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b/>
      <w:kern w:val="44"/>
      <w:sz w:val="44"/>
      <w:szCs w:val="20"/>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rPr>
      <w:szCs w:val="20"/>
    </w:rPr>
  </w:style>
  <w:style w:type="paragraph" w:styleId="5">
    <w:name w:val="Date"/>
    <w:basedOn w:val="1"/>
    <w:next w:val="1"/>
    <w:link w:val="14"/>
    <w:qFormat/>
    <w:uiPriority w:val="0"/>
    <w:pPr>
      <w:adjustRightInd w:val="0"/>
      <w:spacing w:line="312" w:lineRule="atLeast"/>
      <w:textAlignment w:val="baseline"/>
    </w:pPr>
    <w:rPr>
      <w:rFonts w:ascii="宋体" w:hAnsi="Arial"/>
      <w:kern w:val="0"/>
      <w:sz w:val="24"/>
      <w:szCs w:val="20"/>
    </w:rPr>
  </w:style>
  <w:style w:type="paragraph" w:styleId="6">
    <w:name w:val="Balloon Text"/>
    <w:basedOn w:val="1"/>
    <w:link w:val="17"/>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日期 字符"/>
    <w:basedOn w:val="10"/>
    <w:link w:val="5"/>
    <w:qFormat/>
    <w:uiPriority w:val="0"/>
    <w:rPr>
      <w:rFonts w:ascii="宋体" w:hAnsi="Arial" w:eastAsia="宋体" w:cs="Times New Roman"/>
      <w:kern w:val="0"/>
      <w:sz w:val="24"/>
      <w:szCs w:val="20"/>
    </w:rPr>
  </w:style>
  <w:style w:type="paragraph" w:customStyle="1" w:styleId="1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标题 1 字符"/>
    <w:basedOn w:val="10"/>
    <w:link w:val="2"/>
    <w:qFormat/>
    <w:uiPriority w:val="99"/>
    <w:rPr>
      <w:rFonts w:ascii="Times New Roman" w:hAnsi="Times New Roman" w:eastAsia="宋体" w:cs="Times New Roman"/>
      <w:b/>
      <w:kern w:val="44"/>
      <w:sz w:val="44"/>
      <w:szCs w:val="20"/>
    </w:rPr>
  </w:style>
  <w:style w:type="character" w:customStyle="1" w:styleId="17">
    <w:name w:val="批注框文本 字符"/>
    <w:basedOn w:val="10"/>
    <w:link w:val="6"/>
    <w:semiHidden/>
    <w:qFormat/>
    <w:uiPriority w:val="99"/>
    <w:rPr>
      <w:kern w:val="2"/>
      <w:sz w:val="18"/>
      <w:szCs w:val="18"/>
    </w:rPr>
  </w:style>
  <w:style w:type="character" w:customStyle="1" w:styleId="18">
    <w:name w:val="font31"/>
    <w:basedOn w:val="10"/>
    <w:qFormat/>
    <w:uiPriority w:val="0"/>
    <w:rPr>
      <w:rFonts w:hint="eastAsia" w:ascii="宋体" w:hAnsi="宋体" w:eastAsia="宋体" w:cs="宋体"/>
      <w:b/>
      <w:bCs/>
      <w:color w:val="000000"/>
      <w:sz w:val="24"/>
      <w:szCs w:val="24"/>
      <w:u w:val="none"/>
    </w:rPr>
  </w:style>
  <w:style w:type="character" w:customStyle="1" w:styleId="19">
    <w:name w:val="font4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2444</Words>
  <Characters>2618</Characters>
  <Lines>22</Lines>
  <Paragraphs>6</Paragraphs>
  <TotalTime>15</TotalTime>
  <ScaleCrop>false</ScaleCrop>
  <LinksUpToDate>false</LinksUpToDate>
  <CharactersWithSpaces>2680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2020-10-27T06:53:00Z</dcterms:created>
  <dc:creator>xyf</dc:creator>
  <cp:lastModifiedBy>WPS_1337793320</cp:lastModifiedBy>
  <dcterms:modified xsi:type="dcterms:W3CDTF">2025-05-28T06:47:27Z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B61DBFEF627E4C748EAED0A1541A8627_13</vt:lpwstr>
  </property>
  <property fmtid="{D5CDD505-2E9C-101B-9397-08002B2CF9AE}" pid="4" name="KSOTemplateDocerSaveRecord">
    <vt:lpwstr>eyJoZGlkIjoiYmVhOTkzZDY3MGUzODUwN2UyOWFkNDI5YmMyM2EzZGIiLCJ1c2VySWQiOiIxMzM3NzkzMzIwIn0=</vt:lpwstr>
  </property>
</Properties>
</file>